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12244083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F50FB" w:rsidRPr="001F50FB" w:rsidRDefault="001F50FB" w:rsidP="001F50FB">
          <w:pPr>
            <w:keepNext/>
            <w:keepLines/>
            <w:spacing w:before="240" w:after="0"/>
            <w:rPr>
              <w:rFonts w:ascii="Times New Roman" w:eastAsiaTheme="majorEastAsia" w:hAnsi="Times New Roman" w:cs="Times New Roman"/>
              <w:color w:val="000000" w:themeColor="text1"/>
              <w:sz w:val="32"/>
              <w:szCs w:val="32"/>
              <w:lang w:eastAsia="ru-RU"/>
            </w:rPr>
          </w:pPr>
          <w:r w:rsidRPr="001F50FB">
            <w:rPr>
              <w:rFonts w:ascii="Times New Roman" w:eastAsiaTheme="majorEastAsia" w:hAnsi="Times New Roman" w:cs="Times New Roman"/>
              <w:color w:val="000000" w:themeColor="text1"/>
              <w:sz w:val="32"/>
              <w:szCs w:val="32"/>
              <w:lang w:eastAsia="ru-RU"/>
            </w:rPr>
            <w:t>Оглавление</w:t>
          </w:r>
        </w:p>
        <w:p w:rsidR="001F50FB" w:rsidRPr="001F50FB" w:rsidRDefault="001F50FB" w:rsidP="001F50FB">
          <w:pPr>
            <w:tabs>
              <w:tab w:val="left" w:pos="440"/>
              <w:tab w:val="right" w:leader="dot" w:pos="9345"/>
            </w:tabs>
            <w:spacing w:after="100" w:line="360" w:lineRule="auto"/>
            <w:rPr>
              <w:rFonts w:eastAsiaTheme="minorEastAsia"/>
              <w:noProof/>
              <w:color w:val="000000" w:themeColor="text1"/>
              <w:lang w:eastAsia="ru-RU"/>
            </w:rPr>
          </w:pPr>
          <w:r w:rsidRPr="001F50FB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1F50FB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1F50FB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493850383" w:history="1">
            <w:r w:rsidRPr="001F50F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u w:val="single"/>
                <w:lang w:eastAsia="ru-RU"/>
              </w:rPr>
              <w:t>1.</w:t>
            </w:r>
            <w:r w:rsidRPr="001F50FB">
              <w:rPr>
                <w:rFonts w:eastAsiaTheme="minorEastAsia"/>
                <w:noProof/>
                <w:color w:val="000000" w:themeColor="text1"/>
                <w:lang w:eastAsia="ru-RU"/>
              </w:rPr>
              <w:tab/>
            </w:r>
            <w:r w:rsidRPr="001F50F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u w:val="single"/>
                <w:lang w:eastAsia="ru-RU"/>
              </w:rPr>
              <w:t>Тематика эссе</w:t>
            </w:r>
            <w:r w:rsidRPr="001F50FB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ru-RU"/>
              </w:rPr>
              <w:tab/>
            </w:r>
            <w:r w:rsidRPr="001F50FB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ru-RU"/>
              </w:rPr>
              <w:fldChar w:fldCharType="begin"/>
            </w:r>
            <w:r w:rsidRPr="001F50FB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ru-RU"/>
              </w:rPr>
              <w:instrText xml:space="preserve"> PAGEREF _Toc493850383 \h </w:instrText>
            </w:r>
            <w:r w:rsidRPr="001F50FB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ru-RU"/>
              </w:rPr>
            </w:r>
            <w:r w:rsidRPr="001F50FB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ru-RU"/>
              </w:rPr>
              <w:fldChar w:fldCharType="separate"/>
            </w:r>
            <w:r w:rsidR="00E54B90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1F50FB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</w:hyperlink>
        </w:p>
        <w:p w:rsidR="001F50FB" w:rsidRPr="001F50FB" w:rsidRDefault="00295FEF" w:rsidP="001F50FB">
          <w:pPr>
            <w:tabs>
              <w:tab w:val="left" w:pos="660"/>
              <w:tab w:val="right" w:leader="dot" w:pos="9345"/>
            </w:tabs>
            <w:spacing w:after="100" w:line="360" w:lineRule="auto"/>
            <w:rPr>
              <w:rFonts w:eastAsiaTheme="minorEastAsia"/>
              <w:noProof/>
              <w:color w:val="000000" w:themeColor="text1"/>
              <w:lang w:eastAsia="ru-RU"/>
            </w:rPr>
          </w:pPr>
          <w:hyperlink w:anchor="_Toc493850384" w:history="1">
            <w:r w:rsidR="001F50FB" w:rsidRPr="001F50F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u w:val="single"/>
                <w:lang w:eastAsia="ru-RU"/>
              </w:rPr>
              <w:t>2.</w:t>
            </w:r>
            <w:r w:rsidR="001F50FB" w:rsidRPr="001F50FB">
              <w:rPr>
                <w:rFonts w:eastAsiaTheme="minorEastAsia"/>
                <w:noProof/>
                <w:color w:val="000000" w:themeColor="text1"/>
                <w:lang w:eastAsia="ru-RU"/>
              </w:rPr>
              <w:tab/>
            </w:r>
            <w:r w:rsidR="001F50FB" w:rsidRPr="001F50F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u w:val="single"/>
                <w:lang w:eastAsia="ru-RU"/>
              </w:rPr>
              <w:t>Методические рекомендации по написанию эссе</w:t>
            </w:r>
            <w:r w:rsidR="001F50FB" w:rsidRPr="001F50FB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ru-RU"/>
              </w:rPr>
              <w:tab/>
            </w:r>
            <w:r w:rsidR="001F50FB" w:rsidRPr="001F50FB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ru-RU"/>
              </w:rPr>
              <w:fldChar w:fldCharType="begin"/>
            </w:r>
            <w:r w:rsidR="001F50FB" w:rsidRPr="001F50FB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ru-RU"/>
              </w:rPr>
              <w:instrText xml:space="preserve"> PAGEREF _Toc493850384 \h </w:instrText>
            </w:r>
            <w:r w:rsidR="001F50FB" w:rsidRPr="001F50FB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ru-RU"/>
              </w:rPr>
            </w:r>
            <w:r w:rsidR="001F50FB" w:rsidRPr="001F50FB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ru-RU"/>
              </w:rPr>
              <w:fldChar w:fldCharType="separate"/>
            </w:r>
            <w:r w:rsidR="00E54B90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F50FB" w:rsidRPr="001F50FB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</w:hyperlink>
        </w:p>
        <w:p w:rsidR="001F50FB" w:rsidRPr="001F50FB" w:rsidRDefault="001F50FB" w:rsidP="001F50FB">
          <w:p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1F50F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</w:p>
      </w:sdtContent>
    </w:sdt>
    <w:p w:rsidR="001F50FB" w:rsidRPr="001F50FB" w:rsidRDefault="001F50FB" w:rsidP="001F50FB">
      <w:pPr>
        <w:spacing w:after="0" w:line="240" w:lineRule="auto"/>
        <w:ind w:left="720"/>
        <w:contextualSpacing/>
        <w:outlineLvl w:val="0"/>
        <w:rPr>
          <w:rFonts w:ascii="Times New Roman" w:eastAsiaTheme="majorEastAsia" w:hAnsi="Times New Roman" w:cs="Times New Roman"/>
          <w:b/>
          <w:spacing w:val="-10"/>
          <w:kern w:val="28"/>
          <w:sz w:val="32"/>
          <w:szCs w:val="32"/>
          <w:lang w:eastAsia="ru-RU"/>
        </w:rPr>
      </w:pPr>
    </w:p>
    <w:p w:rsidR="001F50FB" w:rsidRPr="001F50FB" w:rsidRDefault="001F50FB" w:rsidP="001F50FB">
      <w:pPr>
        <w:keepNext/>
        <w:keepLines/>
        <w:numPr>
          <w:ilvl w:val="0"/>
          <w:numId w:val="5"/>
        </w:numPr>
        <w:spacing w:before="240" w:after="0" w:line="360" w:lineRule="auto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  <w:lang w:eastAsia="ru-RU"/>
        </w:rPr>
      </w:pPr>
      <w:bookmarkStart w:id="0" w:name="_Toc493850383"/>
      <w:r w:rsidRPr="001F50FB"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  <w:lang w:eastAsia="ru-RU"/>
        </w:rPr>
        <w:t>Тематика эссе</w:t>
      </w:r>
      <w:bookmarkStart w:id="1" w:name="_GoBack"/>
      <w:bookmarkEnd w:id="0"/>
      <w:bookmarkEnd w:id="1"/>
    </w:p>
    <w:p w:rsidR="001F50FB" w:rsidRPr="001F50FB" w:rsidRDefault="00C94E26" w:rsidP="001F50FB">
      <w:pPr>
        <w:pStyle w:val="a3"/>
        <w:numPr>
          <w:ilvl w:val="0"/>
          <w:numId w:val="8"/>
        </w:numPr>
        <w:tabs>
          <w:tab w:val="right" w:pos="9000"/>
        </w:tabs>
        <w:spacing w:after="120" w:line="360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внутреннего контроля  организации госзакупок</w:t>
      </w:r>
      <w:r w:rsidR="001F50FB" w:rsidRPr="001F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4E26" w:rsidRDefault="00C94E26" w:rsidP="00C94E26">
      <w:pPr>
        <w:pStyle w:val="a3"/>
        <w:numPr>
          <w:ilvl w:val="0"/>
          <w:numId w:val="8"/>
        </w:numPr>
        <w:tabs>
          <w:tab w:val="right" w:pos="9000"/>
        </w:tabs>
        <w:spacing w:after="120" w:line="360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Казначейское сопровождение государственных контрактов</w:t>
      </w:r>
    </w:p>
    <w:p w:rsidR="001F50FB" w:rsidRPr="001F50FB" w:rsidRDefault="00867277" w:rsidP="00C94E26">
      <w:pPr>
        <w:pStyle w:val="a3"/>
        <w:numPr>
          <w:ilvl w:val="0"/>
          <w:numId w:val="8"/>
        </w:numPr>
        <w:tabs>
          <w:tab w:val="right" w:pos="9000"/>
        </w:tabs>
        <w:spacing w:after="120" w:line="360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контроля тендерной деятельности</w:t>
      </w:r>
    </w:p>
    <w:p w:rsidR="001F50FB" w:rsidRPr="001F50FB" w:rsidRDefault="00867277" w:rsidP="001F50FB">
      <w:pPr>
        <w:pStyle w:val="a3"/>
        <w:numPr>
          <w:ilvl w:val="0"/>
          <w:numId w:val="8"/>
        </w:numPr>
        <w:tabs>
          <w:tab w:val="right" w:pos="9000"/>
        </w:tabs>
        <w:spacing w:after="120" w:line="360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цели – эффективные госзакупки</w:t>
      </w:r>
    </w:p>
    <w:p w:rsidR="001F50FB" w:rsidRPr="001F50FB" w:rsidRDefault="001F50FB" w:rsidP="001F50FB">
      <w:pPr>
        <w:pStyle w:val="a3"/>
        <w:numPr>
          <w:ilvl w:val="0"/>
          <w:numId w:val="8"/>
        </w:numPr>
        <w:tabs>
          <w:tab w:val="right" w:pos="9000"/>
        </w:tabs>
        <w:spacing w:after="120" w:line="360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проблемных областей в процессе</w:t>
      </w:r>
      <w:r w:rsidR="0086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к открытому конкурсу</w:t>
      </w:r>
    </w:p>
    <w:p w:rsidR="00867277" w:rsidRDefault="00867277" w:rsidP="00867277">
      <w:pPr>
        <w:pStyle w:val="a3"/>
        <w:numPr>
          <w:ilvl w:val="0"/>
          <w:numId w:val="8"/>
        </w:numPr>
        <w:tabs>
          <w:tab w:val="right" w:pos="9000"/>
        </w:tabs>
        <w:spacing w:after="120" w:line="360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государственных закупок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6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ключевой элемен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эффективного использования бюджетных средств</w:t>
      </w:r>
    </w:p>
    <w:p w:rsidR="001F50FB" w:rsidRDefault="00A12ABD" w:rsidP="00867277">
      <w:pPr>
        <w:pStyle w:val="a3"/>
        <w:numPr>
          <w:ilvl w:val="0"/>
          <w:numId w:val="8"/>
        </w:numPr>
        <w:tabs>
          <w:tab w:val="right" w:pos="9000"/>
        </w:tabs>
        <w:spacing w:after="120" w:line="360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</w:t>
      </w:r>
      <w:r w:rsidR="0086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езависимост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6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конкурсных комиссий</w:t>
      </w:r>
    </w:p>
    <w:p w:rsidR="00607144" w:rsidRDefault="00607144" w:rsidP="001F50FB">
      <w:pPr>
        <w:pStyle w:val="a3"/>
        <w:numPr>
          <w:ilvl w:val="0"/>
          <w:numId w:val="8"/>
        </w:numPr>
        <w:tabs>
          <w:tab w:val="right" w:pos="9000"/>
        </w:tabs>
        <w:spacing w:after="120" w:line="360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 контроля обоснования начальной максимальной цены контракта</w:t>
      </w:r>
    </w:p>
    <w:p w:rsidR="001F50FB" w:rsidRPr="00607144" w:rsidRDefault="003B0638" w:rsidP="001F50FB">
      <w:pPr>
        <w:pStyle w:val="a3"/>
        <w:numPr>
          <w:ilvl w:val="0"/>
          <w:numId w:val="8"/>
        </w:numPr>
        <w:tabs>
          <w:tab w:val="right" w:pos="9000"/>
        </w:tabs>
        <w:spacing w:after="120" w:line="360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</w:t>
      </w:r>
      <w:r w:rsidR="001F50FB" w:rsidRPr="0060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оценки эффективности контрольного </w:t>
      </w:r>
      <w:r w:rsidR="0060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контрольных процедур выбора единственного поставщика</w:t>
      </w:r>
    </w:p>
    <w:p w:rsidR="001F50FB" w:rsidRPr="001F50FB" w:rsidRDefault="00607144" w:rsidP="001F50FB">
      <w:pPr>
        <w:pStyle w:val="a3"/>
        <w:numPr>
          <w:ilvl w:val="0"/>
          <w:numId w:val="8"/>
        </w:numPr>
        <w:tabs>
          <w:tab w:val="right" w:pos="9000"/>
        </w:tabs>
        <w:spacing w:after="120" w:line="360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Уровни регламентации контроля госзакупок</w:t>
      </w:r>
    </w:p>
    <w:p w:rsidR="001F50FB" w:rsidRPr="001F50FB" w:rsidRDefault="003B0638" w:rsidP="001F50FB">
      <w:pPr>
        <w:pStyle w:val="a3"/>
        <w:numPr>
          <w:ilvl w:val="0"/>
          <w:numId w:val="8"/>
        </w:numPr>
        <w:tabs>
          <w:tab w:val="right" w:pos="9000"/>
        </w:tabs>
        <w:spacing w:after="120" w:line="360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требований по к участникам торгов, как процедура снижения риска заказчика </w:t>
      </w:r>
    </w:p>
    <w:p w:rsidR="003B0638" w:rsidRDefault="003B0638" w:rsidP="001F50FB">
      <w:pPr>
        <w:pStyle w:val="a3"/>
        <w:numPr>
          <w:ilvl w:val="0"/>
          <w:numId w:val="8"/>
        </w:numPr>
        <w:tabs>
          <w:tab w:val="right" w:pos="9000"/>
        </w:tabs>
        <w:spacing w:after="120" w:line="360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контроля </w:t>
      </w:r>
      <w:r w:rsidR="0060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</w:t>
      </w:r>
      <w:r w:rsidR="0060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рисков </w:t>
      </w:r>
      <w:r w:rsidR="0060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неисполнения государственного контракта</w:t>
      </w:r>
    </w:p>
    <w:p w:rsidR="003B0638" w:rsidRDefault="001F50FB" w:rsidP="001F50FB">
      <w:pPr>
        <w:pStyle w:val="a3"/>
        <w:numPr>
          <w:ilvl w:val="0"/>
          <w:numId w:val="8"/>
        </w:numPr>
        <w:tabs>
          <w:tab w:val="right" w:pos="9000"/>
        </w:tabs>
        <w:spacing w:after="120" w:line="360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единой  информационной системы в повышении эффективности контроля госзакупок</w:t>
      </w:r>
      <w:r w:rsidR="003B0638" w:rsidRPr="003B0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2ABD" w:rsidRDefault="00A12ABD" w:rsidP="001F50FB">
      <w:pPr>
        <w:pStyle w:val="a3"/>
        <w:numPr>
          <w:ilvl w:val="0"/>
          <w:numId w:val="8"/>
        </w:numPr>
        <w:tabs>
          <w:tab w:val="right" w:pos="9000"/>
        </w:tabs>
        <w:spacing w:after="120" w:line="360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контроля целесообразности госзакупок</w:t>
      </w:r>
    </w:p>
    <w:p w:rsidR="001F50FB" w:rsidRPr="003B0638" w:rsidRDefault="003B0638" w:rsidP="001F50FB">
      <w:pPr>
        <w:pStyle w:val="a3"/>
        <w:numPr>
          <w:ilvl w:val="0"/>
          <w:numId w:val="8"/>
        </w:numPr>
        <w:tabs>
          <w:tab w:val="right" w:pos="9000"/>
        </w:tabs>
        <w:spacing w:after="120" w:line="360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м</w:t>
      </w:r>
      <w:r w:rsidR="001F50FB" w:rsidRPr="003B0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ониторинг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F50FB" w:rsidRPr="003B0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системе внутреннего контроля эффективности </w:t>
      </w:r>
      <w:r w:rsidR="0060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госзакупок</w:t>
      </w:r>
    </w:p>
    <w:p w:rsidR="00607144" w:rsidRDefault="00607144" w:rsidP="003B0638">
      <w:pPr>
        <w:pStyle w:val="a3"/>
        <w:numPr>
          <w:ilvl w:val="0"/>
          <w:numId w:val="8"/>
        </w:numPr>
        <w:tabs>
          <w:tab w:val="right" w:pos="9000"/>
        </w:tabs>
        <w:spacing w:after="120" w:line="360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</w:t>
      </w:r>
      <w:r w:rsidR="001F50FB" w:rsidRPr="003B0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появления недобросовестного участника при проведении  электронного аукциона</w:t>
      </w:r>
    </w:p>
    <w:p w:rsidR="001F50FB" w:rsidRDefault="001F50FB" w:rsidP="001F50FB">
      <w:pPr>
        <w:pStyle w:val="a3"/>
        <w:numPr>
          <w:ilvl w:val="0"/>
          <w:numId w:val="8"/>
        </w:numPr>
        <w:tabs>
          <w:tab w:val="right" w:pos="9000"/>
        </w:tabs>
        <w:spacing w:after="120" w:line="360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Специфика </w:t>
      </w:r>
      <w:r w:rsidR="0060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документов для проведения открытого конкурса</w:t>
      </w:r>
    </w:p>
    <w:p w:rsidR="003B0638" w:rsidRDefault="00607144" w:rsidP="001F50FB">
      <w:pPr>
        <w:pStyle w:val="a3"/>
        <w:numPr>
          <w:ilvl w:val="0"/>
          <w:numId w:val="8"/>
        </w:numPr>
        <w:tabs>
          <w:tab w:val="right" w:pos="9000"/>
        </w:tabs>
        <w:spacing w:after="120" w:line="360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Преимущества и недостатки электронного аукциона</w:t>
      </w:r>
    </w:p>
    <w:p w:rsidR="00607144" w:rsidRDefault="00607144" w:rsidP="001F50FB">
      <w:pPr>
        <w:pStyle w:val="a3"/>
        <w:numPr>
          <w:ilvl w:val="0"/>
          <w:numId w:val="8"/>
        </w:numPr>
        <w:tabs>
          <w:tab w:val="right" w:pos="9000"/>
        </w:tabs>
        <w:spacing w:after="120" w:line="360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Преимущества и недостатки открытого конкурса</w:t>
      </w:r>
    </w:p>
    <w:p w:rsidR="001F50FB" w:rsidRPr="001F50FB" w:rsidRDefault="00A12ABD" w:rsidP="001F50FB">
      <w:pPr>
        <w:pStyle w:val="a3"/>
        <w:numPr>
          <w:ilvl w:val="0"/>
          <w:numId w:val="8"/>
        </w:numPr>
        <w:tabs>
          <w:tab w:val="right" w:pos="9000"/>
        </w:tabs>
        <w:spacing w:after="120" w:line="360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конкуренции при проведении тендеров</w:t>
      </w:r>
    </w:p>
    <w:p w:rsidR="001F50FB" w:rsidRPr="001F50FB" w:rsidRDefault="003B0638" w:rsidP="001F50FB">
      <w:pPr>
        <w:pStyle w:val="a3"/>
        <w:numPr>
          <w:ilvl w:val="0"/>
          <w:numId w:val="8"/>
        </w:numPr>
        <w:tabs>
          <w:tab w:val="right" w:pos="9000"/>
        </w:tabs>
        <w:spacing w:after="120" w:line="360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рисков </w:t>
      </w:r>
      <w:r w:rsidR="00A1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тендерной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компаниях со значительным государственным участием</w:t>
      </w:r>
    </w:p>
    <w:p w:rsidR="003B0638" w:rsidRDefault="00A12ABD" w:rsidP="001F50FB">
      <w:pPr>
        <w:pStyle w:val="a3"/>
        <w:numPr>
          <w:ilvl w:val="0"/>
          <w:numId w:val="8"/>
        </w:numPr>
        <w:tabs>
          <w:tab w:val="right" w:pos="9000"/>
        </w:tabs>
        <w:spacing w:after="120" w:line="360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тендерной деятельности на тапе планирования</w:t>
      </w:r>
    </w:p>
    <w:p w:rsidR="001F50FB" w:rsidRPr="003B0638" w:rsidRDefault="00A12ABD" w:rsidP="001F50FB">
      <w:pPr>
        <w:pStyle w:val="a3"/>
        <w:numPr>
          <w:ilvl w:val="0"/>
          <w:numId w:val="8"/>
        </w:numPr>
        <w:tabs>
          <w:tab w:val="right" w:pos="9000"/>
        </w:tabs>
        <w:spacing w:after="120" w:line="360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Субъекты и объекты контроля  в области госзакупок</w:t>
      </w:r>
    </w:p>
    <w:p w:rsidR="001F50FB" w:rsidRDefault="00A12ABD" w:rsidP="001F50FB">
      <w:pPr>
        <w:pStyle w:val="a3"/>
        <w:numPr>
          <w:ilvl w:val="0"/>
          <w:numId w:val="8"/>
        </w:numPr>
        <w:tabs>
          <w:tab w:val="right" w:pos="9000"/>
        </w:tabs>
        <w:spacing w:after="120" w:line="360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Субъекты внутреннего контроля тендерной деятельности в бюджетных организациях</w:t>
      </w:r>
    </w:p>
    <w:p w:rsidR="00A12ABD" w:rsidRPr="001F50FB" w:rsidRDefault="00A12ABD" w:rsidP="001F50FB">
      <w:pPr>
        <w:pStyle w:val="a3"/>
        <w:numPr>
          <w:ilvl w:val="0"/>
          <w:numId w:val="8"/>
        </w:numPr>
        <w:tabs>
          <w:tab w:val="right" w:pos="9000"/>
        </w:tabs>
        <w:spacing w:after="120" w:line="360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Подготовительный этап аудита в сфере закупок</w:t>
      </w:r>
    </w:p>
    <w:p w:rsidR="001F50FB" w:rsidRPr="001F50FB" w:rsidRDefault="001F50FB" w:rsidP="001F50FB">
      <w:pPr>
        <w:tabs>
          <w:tab w:val="right" w:pos="9000"/>
        </w:tabs>
        <w:spacing w:after="120" w:line="360" w:lineRule="auto"/>
        <w:ind w:left="643" w:right="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0FB" w:rsidRPr="001F50FB" w:rsidRDefault="001F50FB" w:rsidP="001F50FB">
      <w:pPr>
        <w:keepNext/>
        <w:keepLines/>
        <w:numPr>
          <w:ilvl w:val="0"/>
          <w:numId w:val="5"/>
        </w:numPr>
        <w:spacing w:before="40" w:after="0" w:line="360" w:lineRule="auto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2" w:name="_Toc493850384"/>
      <w:r w:rsidRPr="001F50FB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eastAsia="ru-RU"/>
        </w:rPr>
        <w:t>Методические рекомендации по написанию эссе</w:t>
      </w:r>
      <w:bookmarkEnd w:id="2"/>
    </w:p>
    <w:p w:rsidR="001F50FB" w:rsidRPr="001F50FB" w:rsidRDefault="001F50FB" w:rsidP="001F50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Эссе является формой контроля и оценки знаний магистрантов, который способствует развитию навыка самостоятельной работы студента,  углубленному изучению студентами соответствующего материала и развивает способности к научному мышлению и творчеству. </w:t>
      </w:r>
    </w:p>
    <w:p w:rsidR="001F50FB" w:rsidRPr="001F50FB" w:rsidRDefault="001F50FB" w:rsidP="001F50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выполнению эссе осуществляется под руководством преподавателя. </w:t>
      </w:r>
    </w:p>
    <w:p w:rsidR="001F50FB" w:rsidRPr="001F50FB" w:rsidRDefault="001F50FB" w:rsidP="001F50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содержанию эссе предъявляются следующие требования: </w:t>
      </w:r>
    </w:p>
    <w:p w:rsidR="001F50FB" w:rsidRPr="001F50FB" w:rsidRDefault="001F50FB" w:rsidP="001F50F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 раскрытие в эссе теоретических и практических аспектов по изучаемой теме;  </w:t>
      </w:r>
    </w:p>
    <w:p w:rsidR="001F50FB" w:rsidRPr="001F50FB" w:rsidRDefault="001F50FB" w:rsidP="001F50F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эссе должно быть структурировано и излагаться в логической последовательности; </w:t>
      </w:r>
    </w:p>
    <w:p w:rsidR="001F50FB" w:rsidRPr="001F50FB" w:rsidRDefault="001F50FB" w:rsidP="001F50F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использование необходимого минимума имеющихся по данной теме учебной и научной литературы и нормативно-правовых актов, наличие в тексте работы соответствующих ссылок; </w:t>
      </w:r>
    </w:p>
    <w:p w:rsidR="001F50FB" w:rsidRPr="001F50FB" w:rsidRDefault="001F50FB" w:rsidP="001F50F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изложения материала, правильное применение терминологии, грамотность.</w:t>
      </w:r>
    </w:p>
    <w:p w:rsidR="001F50FB" w:rsidRPr="001F50FB" w:rsidRDefault="001F50FB" w:rsidP="001F50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эссе при изложении дискуссионных вопросов следует привести различные точки зрения и провести их анализ.</w:t>
      </w:r>
    </w:p>
    <w:p w:rsidR="001F50FB" w:rsidRPr="001F50FB" w:rsidRDefault="001F50FB" w:rsidP="001F50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Эссе должно иметь следующую структуру: титульный лист; план работы; вводная часть (вступление, введение); основная часть,  заключение; список использованной литературы. </w:t>
      </w:r>
    </w:p>
    <w:p w:rsidR="001F50FB" w:rsidRPr="001F50FB" w:rsidRDefault="001F50FB" w:rsidP="001F50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объем текста 10-12 страниц; Формат - А 4, шрифт - Times New Roman, размер шрифта – 14, междустрочный интервал – 1,5.</w:t>
      </w:r>
    </w:p>
    <w:p w:rsidR="00C1138B" w:rsidRDefault="00C1138B" w:rsidP="00C1138B">
      <w:pPr>
        <w:rPr>
          <w:rFonts w:ascii="Times New Roman" w:hAnsi="Times New Roman" w:cs="Times New Roman"/>
          <w:sz w:val="28"/>
          <w:szCs w:val="28"/>
        </w:rPr>
      </w:pPr>
    </w:p>
    <w:sectPr w:rsidR="00C1138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FEF" w:rsidRDefault="00295FEF">
      <w:pPr>
        <w:spacing w:after="0" w:line="240" w:lineRule="auto"/>
      </w:pPr>
      <w:r>
        <w:separator/>
      </w:r>
    </w:p>
  </w:endnote>
  <w:endnote w:type="continuationSeparator" w:id="0">
    <w:p w:rsidR="00295FEF" w:rsidRDefault="00295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0312898"/>
      <w:docPartObj>
        <w:docPartGallery w:val="Page Numbers (Bottom of Page)"/>
        <w:docPartUnique/>
      </w:docPartObj>
    </w:sdtPr>
    <w:sdtEndPr/>
    <w:sdtContent>
      <w:p w:rsidR="00607144" w:rsidRDefault="006071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9C0">
          <w:rPr>
            <w:noProof/>
          </w:rPr>
          <w:t>3</w:t>
        </w:r>
        <w:r>
          <w:fldChar w:fldCharType="end"/>
        </w:r>
      </w:p>
    </w:sdtContent>
  </w:sdt>
  <w:p w:rsidR="00607144" w:rsidRDefault="0060714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FEF" w:rsidRDefault="00295FEF">
      <w:pPr>
        <w:spacing w:after="0" w:line="240" w:lineRule="auto"/>
      </w:pPr>
      <w:r>
        <w:separator/>
      </w:r>
    </w:p>
  </w:footnote>
  <w:footnote w:type="continuationSeparator" w:id="0">
    <w:p w:rsidR="00295FEF" w:rsidRDefault="00295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2D19"/>
    <w:multiLevelType w:val="hybridMultilevel"/>
    <w:tmpl w:val="945AB8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765F1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391AF7"/>
    <w:multiLevelType w:val="hybridMultilevel"/>
    <w:tmpl w:val="4A8AF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2047E"/>
    <w:multiLevelType w:val="hybridMultilevel"/>
    <w:tmpl w:val="017643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AE4B06"/>
    <w:multiLevelType w:val="hybridMultilevel"/>
    <w:tmpl w:val="F2E6EC32"/>
    <w:lvl w:ilvl="0" w:tplc="E5C69C9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96B18C9"/>
    <w:multiLevelType w:val="hybridMultilevel"/>
    <w:tmpl w:val="2856BBF8"/>
    <w:lvl w:ilvl="0" w:tplc="014E8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2345B"/>
    <w:multiLevelType w:val="hybridMultilevel"/>
    <w:tmpl w:val="676CFFA6"/>
    <w:lvl w:ilvl="0" w:tplc="0419000F">
      <w:start w:val="1"/>
      <w:numFmt w:val="decimal"/>
      <w:lvlText w:val="%1."/>
      <w:lvlJc w:val="left"/>
      <w:pPr>
        <w:ind w:left="-1055" w:hanging="360"/>
      </w:pPr>
    </w:lvl>
    <w:lvl w:ilvl="1" w:tplc="04190019" w:tentative="1">
      <w:start w:val="1"/>
      <w:numFmt w:val="lowerLetter"/>
      <w:lvlText w:val="%2."/>
      <w:lvlJc w:val="left"/>
      <w:pPr>
        <w:ind w:left="-335" w:hanging="360"/>
      </w:pPr>
    </w:lvl>
    <w:lvl w:ilvl="2" w:tplc="0419001B" w:tentative="1">
      <w:start w:val="1"/>
      <w:numFmt w:val="lowerRoman"/>
      <w:lvlText w:val="%3."/>
      <w:lvlJc w:val="right"/>
      <w:pPr>
        <w:ind w:left="385" w:hanging="180"/>
      </w:pPr>
    </w:lvl>
    <w:lvl w:ilvl="3" w:tplc="0419000F" w:tentative="1">
      <w:start w:val="1"/>
      <w:numFmt w:val="decimal"/>
      <w:lvlText w:val="%4."/>
      <w:lvlJc w:val="left"/>
      <w:pPr>
        <w:ind w:left="1105" w:hanging="360"/>
      </w:pPr>
    </w:lvl>
    <w:lvl w:ilvl="4" w:tplc="04190019" w:tentative="1">
      <w:start w:val="1"/>
      <w:numFmt w:val="lowerLetter"/>
      <w:lvlText w:val="%5."/>
      <w:lvlJc w:val="left"/>
      <w:pPr>
        <w:ind w:left="1825" w:hanging="360"/>
      </w:pPr>
    </w:lvl>
    <w:lvl w:ilvl="5" w:tplc="0419001B" w:tentative="1">
      <w:start w:val="1"/>
      <w:numFmt w:val="lowerRoman"/>
      <w:lvlText w:val="%6."/>
      <w:lvlJc w:val="right"/>
      <w:pPr>
        <w:ind w:left="2545" w:hanging="180"/>
      </w:pPr>
    </w:lvl>
    <w:lvl w:ilvl="6" w:tplc="0419000F" w:tentative="1">
      <w:start w:val="1"/>
      <w:numFmt w:val="decimal"/>
      <w:lvlText w:val="%7."/>
      <w:lvlJc w:val="left"/>
      <w:pPr>
        <w:ind w:left="3265" w:hanging="360"/>
      </w:pPr>
    </w:lvl>
    <w:lvl w:ilvl="7" w:tplc="04190019" w:tentative="1">
      <w:start w:val="1"/>
      <w:numFmt w:val="lowerLetter"/>
      <w:lvlText w:val="%8."/>
      <w:lvlJc w:val="left"/>
      <w:pPr>
        <w:ind w:left="3985" w:hanging="360"/>
      </w:pPr>
    </w:lvl>
    <w:lvl w:ilvl="8" w:tplc="0419001B" w:tentative="1">
      <w:start w:val="1"/>
      <w:numFmt w:val="lowerRoman"/>
      <w:lvlText w:val="%9."/>
      <w:lvlJc w:val="right"/>
      <w:pPr>
        <w:ind w:left="4705" w:hanging="180"/>
      </w:pPr>
    </w:lvl>
  </w:abstractNum>
  <w:abstractNum w:abstractNumId="6" w15:restartNumberingAfterBreak="0">
    <w:nsid w:val="76CD7A7C"/>
    <w:multiLevelType w:val="hybridMultilevel"/>
    <w:tmpl w:val="5CF23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42C6B"/>
    <w:multiLevelType w:val="hybridMultilevel"/>
    <w:tmpl w:val="BD503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A4"/>
    <w:rsid w:val="00042271"/>
    <w:rsid w:val="000F19C0"/>
    <w:rsid w:val="001F50FB"/>
    <w:rsid w:val="00295FEF"/>
    <w:rsid w:val="003B0638"/>
    <w:rsid w:val="004E1BA1"/>
    <w:rsid w:val="005E25F1"/>
    <w:rsid w:val="00607144"/>
    <w:rsid w:val="006078AC"/>
    <w:rsid w:val="006817C3"/>
    <w:rsid w:val="006F72BA"/>
    <w:rsid w:val="007B58AC"/>
    <w:rsid w:val="00867277"/>
    <w:rsid w:val="008E14E2"/>
    <w:rsid w:val="008E41B5"/>
    <w:rsid w:val="0091477B"/>
    <w:rsid w:val="00A12ABD"/>
    <w:rsid w:val="00C1138B"/>
    <w:rsid w:val="00C94E26"/>
    <w:rsid w:val="00D649F5"/>
    <w:rsid w:val="00E54B90"/>
    <w:rsid w:val="00E9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64FD"/>
  <w15:chartTrackingRefBased/>
  <w15:docId w15:val="{5DAA90D3-E130-4CC3-9FA7-EE0E026B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38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F50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1F50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Дворецкая</dc:creator>
  <cp:keywords/>
  <dc:description/>
  <cp:lastModifiedBy>Sabina Khusenova</cp:lastModifiedBy>
  <cp:revision>2</cp:revision>
  <dcterms:created xsi:type="dcterms:W3CDTF">2017-12-11T14:27:00Z</dcterms:created>
  <dcterms:modified xsi:type="dcterms:W3CDTF">2017-12-11T14:27:00Z</dcterms:modified>
</cp:coreProperties>
</file>