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60"/>
        <w:jc w:val="center"/>
        <w:rPr>
          <w:caps/>
          <w:sz w:val="28"/>
          <w:sz w:val="28"/>
          <w:szCs w:val="28"/>
          <w:rFonts w:ascii="Times New Roman" w:hAnsi="Times New Roman" w:cs="Times New Roman"/>
        </w:rPr>
      </w:pPr>
      <w:r>
        <w:rPr/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Курсовая работа по дисциплине «Государственные и муниципальные финансы» (далее по тексту – Работа) представляет собой самостоятельную работу студента по раскрытию выбранной им темы, утвержденной за ним в установленном порядке приказом по институту.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Цель курсовой работы – самостоятельное исследование комплекса взаимосвязанных вопросов, касающихся конкретной финансовой ситуации на основе полученных в процессе обучения теоретиче</w:t>
        <w:softHyphen/>
        <w:t>ских и практических знаний.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курсовой работе на основе изучения экономической литературы и нормативных правовых актов, анализа статистической и иной информации дается характеристика процессов и тенденций в сфере государственных и муниципальных финансов.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является важным этапом подготовки студентов к написанию и защите выпускной квалификационной (дипломной)работы бакалавра.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представляет собой законченную разработку в профессиональной области, в которой необходимо: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обосновать актуальность исследуемой проблемы;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провести анализ информации из литературных источников, периодических изданий, Интернета;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использовать статистические данные федерального, регионального и муниципального уровней управления;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производить необходимые аналитические расчеты и принимать обоснованные решения.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Подготовка курсовой работы осуществляется студентом под руководством научного руководителя, назначаемого руководителем кафедры.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Курсовая работа должна содержать элементы научного исследования по теме работы.</w:t>
      </w:r>
      <w:r/>
    </w:p>
    <w:p>
      <w:pPr>
        <w:pStyle w:val="ListParagraph"/>
        <w:ind w:left="1077" w:hanging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. СТРУКТУРА КУРСОВОЙ РАБОТЫ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состоит из введения, основной части, содержащей теоретический и практический разделы, заключения, списка использованных источников, приложений.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Во введении</w:t>
      </w:r>
      <w:r>
        <w:rPr>
          <w:rFonts w:ascii="Times New Roman" w:hAnsi="Times New Roman"/>
          <w:sz w:val="24"/>
          <w:szCs w:val="24"/>
        </w:rPr>
        <w:t xml:space="preserve"> дается оценка современного состояния решаемой проблемы, обосновывается актуальность темы, определяется объект и предмет исследования, ставятся цель и задачи, определяются методы исследования, формулируются теоретические основы исследования, характеризуются информационные материалы, а при необходимости вычислительные средства, использованные в Работе. Объем введения 2–3 страницы.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/>
          <w:sz w:val="24"/>
          <w:szCs w:val="24"/>
        </w:rPr>
        <w:t xml:space="preserve">  –  это  процесс  или явление,  порождающее  проблемную ситуацию,  и  избранное  для  изучения. 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/>
          <w:sz w:val="24"/>
          <w:szCs w:val="24"/>
        </w:rPr>
        <w:t xml:space="preserve"> –    это то,  что находится в границах объекта.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Например:  тема  Работы «Особенности бюджетного федерализма в России».  </w:t>
      </w:r>
      <w:r>
        <w:rPr>
          <w:rFonts w:ascii="Times New Roman" w:hAnsi="Times New Roman"/>
          <w:i/>
          <w:sz w:val="24"/>
          <w:szCs w:val="24"/>
        </w:rPr>
        <w:t>Объектом исследования</w:t>
      </w:r>
      <w:r>
        <w:rPr>
          <w:rFonts w:ascii="Times New Roman" w:hAnsi="Times New Roman"/>
          <w:sz w:val="24"/>
          <w:szCs w:val="24"/>
        </w:rPr>
        <w:t xml:space="preserve">  является  бюджетная система с несколькими уровнями управления.  </w:t>
      </w:r>
      <w:r>
        <w:rPr>
          <w:rFonts w:ascii="Times New Roman" w:hAnsi="Times New Roman"/>
          <w:i/>
          <w:sz w:val="24"/>
          <w:szCs w:val="24"/>
        </w:rPr>
        <w:t>Предметом  исследования</w:t>
      </w:r>
      <w:r>
        <w:rPr>
          <w:rFonts w:ascii="Times New Roman" w:hAnsi="Times New Roman"/>
          <w:sz w:val="24"/>
          <w:szCs w:val="24"/>
        </w:rPr>
        <w:t xml:space="preserve">  являются  взаимоотношения между уровнями бюджетной системы. Целью  Работы является  рассмотрение современного бюджетного устройства в России и определение путей рационального взаимодействия между уровнями бюджетной системы.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Исходя из цели исследования в работе поставлены следующие задачи: перечисляются 3-4 вопроса, которые необходимо раскрыть.</w:t>
      </w:r>
      <w:r/>
    </w:p>
    <w:p>
      <w:pPr>
        <w:pStyle w:val="Normal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Основная часть</w:t>
      </w:r>
      <w:r>
        <w:rPr>
          <w:rFonts w:ascii="Times New Roman" w:hAnsi="Times New Roman"/>
          <w:sz w:val="24"/>
          <w:szCs w:val="24"/>
        </w:rPr>
        <w:t xml:space="preserve"> рассматривает теоретические основы выбранной проблемы.    Основная часть работы  состоит из 2-х разделов. Изложение текста работы дается от первого или третьего лица множественного числа или в безличной форме, например: «Считаем необходимым...», «Необходимо помнить...», «Проведенный нами анализ показывает...». В тексте не допускается сокращение слов, кроме словосочетаний: т.е. - то есть, и т.п. - и тому подобное; и т.д.; и др.; при ссылках и сносках в тексте: см. - смотри, табл. - таблица, разд. - раздел, рис. - рисунок и т.д.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Первый (теоретический) раздел</w:t>
      </w:r>
      <w:r>
        <w:rPr>
          <w:rFonts w:ascii="Times New Roman" w:hAnsi="Times New Roman"/>
          <w:sz w:val="24"/>
          <w:szCs w:val="24"/>
        </w:rPr>
        <w:t xml:space="preserve"> носит теоретико-методологический характер. В нем раскрывается сущность проблемы, ее состояние, рассматриваются дискуссионные вопросы, методологические основы исследования. В этом разделе необходимо, базируясь на изученном материале, обосновать собственную позицию, выразить свое отношение к проблеме. Эта часть   выступает  теоретической базой  для решения проблемы и раскрытия темы. В конце раздела формулируются основные теоретические положения, на которые будет опираться автор во втором разделе.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Второй раздел</w:t>
      </w:r>
      <w:r>
        <w:rPr>
          <w:rFonts w:ascii="Times New Roman" w:hAnsi="Times New Roman"/>
          <w:sz w:val="24"/>
          <w:szCs w:val="24"/>
        </w:rPr>
        <w:t xml:space="preserve"> – это аналитическая часть Работы. Он представляет собой анализ статистических данных по теме курсовой работы с использованием методов экономического и финансового анализа (горизонтальный и вертикальный анализ, коэффициентный, факторный анализ и другие методы).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Расчетные данные могут быть представлены в таблицах. Средством, обеспечивающим наглядность и удобство восприятия выявленных тенденций и закономерностей, являются схемы, графики, рисунки. Основная задача аналитической части состоит в использовании знаний в области государственных и муниципальных финансов.  В конце раздела формулируются основные выводы, к которым пришел автор.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 заключении</w:t>
      </w:r>
      <w:r>
        <w:rPr>
          <w:rFonts w:ascii="Times New Roman" w:hAnsi="Times New Roman"/>
          <w:sz w:val="24"/>
          <w:szCs w:val="24"/>
        </w:rPr>
        <w:t xml:space="preserve">    необходимо сделать  основные выводы  исследования, которые должны соотноситься с целью работы и конкретными задачами, сформулированными во введении. Содержательно заключение должно корреспондироваться с составом задач Работы.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Законченная Работа должна быть подписана студентом на титульном листе с указанием даты ее сдачи на кафедру.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ТРЕБОВАНИЯ К ОФОРМЛЕНИЮ КУРСВОВОЙ РАБОТЫ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Объем Работы лимитирован в пределах 25-30 страниц.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Работа должна быть напечатана на одной стороне листа бумаги формата А4. Цвет шрифта – черный, размер шрифта - 14, междустрочный интервал –  1,5, гарнитура шрифта – Times New Roman.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Размеры верхнего и нижнего полей – 20 мм, левого поля – 30 мм, правого – 10 мм.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Абзацный отступ – одинаковый по всему тексту документа и равен 1,25 см. Основной текст Работы должен быть выровнен по ширине.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Нумерация страниц производится сквозным способом по всему тексту Работы, начиная с титульного листа (Приложение 1), но на титульном листе  номер не проставляется. Номер листа проставляется в его правом нижнем углу.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 2-й странице приводится план Работы, называемый «Содержание». Первой нумерованной страницей будет лист, на котором размещается содержание Работы.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Оформление заголовков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ascii="Times New Roman" w:hAnsi="Times New Roman"/>
          <w:sz w:val="24"/>
          <w:szCs w:val="24"/>
        </w:rPr>
        <w:t xml:space="preserve">Заголовки структурных элементов Работы («Содержание», «Введение», «Заключение», «Список использованных источников») следует располагать с абзацного отступа с прописной буквы без точки в конце, без подчеркивания, не выделяя курсивом.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Разделы и подразделы Работы должны иметь заголовки. Заголовки не должны слово в слово совпадать ни друг с другом, ни с темой.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Заголовки разделов и подразделов оформляются так же, как и заголовки структурных элементов Работы.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Разделы рекомендуется начинать с нового листа.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Разделы и подразделы Работы следует нумеровать арабскими цифрами. Главы должны иметь порядковую нумерацию в пределах всего текста (за исключением приложений). Номер подраздела включает номер раздела и порядковый номер подраздела, разделенные точкой (например, 1.1, 1.2, 1.3 и т.д.). После номера раздела, подраздела, пункта и подпункта в тексте точку не ставят. Заголовки третьего уровня в Работе не используются.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Оформление ссылок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в тексте информации из источника, описание которого включено в список литературы, в тексте Работы необходима библиографическая ссылка.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 цитировании текста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[5, с. 23].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Если в тексте использовано не дословное цитирование, то текст не помещают в кавычки, а в квадратных скобках указывают лишь номер источника. Например: [5].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 оформлении ссылок на положения нормативных правовых актов в квадратных скобках вместо номера страницы указывается номер соответствующей статьи (пункта) документа с обозначением символа «ст.» («п.»).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Оформление таблиц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Цифровой материал, как правило, оформляют в виде таблиц, что обеспечивает лучшую наглядность и удобство сравнения показателей. Таблицу в зависимости от ее размера обычно помещают под текстом, в котором впервые дана на нее ссылка.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Каждая таблица должна иметь заголовок, точно и кратко отражающий ее содержание. Заголовок таблицы следует помещать над таблицей слева. Перед заголовком размещают номер таблицы. </w:t>
      </w:r>
      <w:r/>
    </w:p>
    <w:p>
      <w:pPr>
        <w:pStyle w:val="Normal"/>
        <w:spacing w:before="0" w:after="0"/>
        <w:ind w:firstLine="709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Например: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Таблица 1 – Основные показатели экономического развития РФ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Таблицы должны иметь сквозную нумерацию по всей Работе. После номера таблицы точку не ставят. Знак «№» перед номером таблицы не используется.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таблицах допускается применять меньший размер шрифта, чем в основном тексте, и одинарный междустрочный интервал. К цифровым табличным данным должны быть указаны единицы измерения. Если данные таблицы имеют разные единицы измерения, то они указываются в соответствующих заголовках (подзаголовках) граф или строк таблицы. Если все табличные данные имеют одну единицу измерения, то эту единицу приводят над таблицей справа, используя предлог «в».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Например:</w:t>
      </w:r>
      <w:r>
        <w:rPr>
          <w:rFonts w:ascii="Times New Roman" w:hAnsi="Times New Roman"/>
          <w:sz w:val="24"/>
          <w:szCs w:val="24"/>
        </w:rPr>
        <w:t xml:space="preserve">  в тыс. руб.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Ширина таблицы должна соответствовать ширине основного текста. При превышении ширины таблицу следует размещать в альбомном формате по тексту или в приложении. Не допускается при переносе отделять заголовок таблицы от самой таблицы, оставлять на странице только «шапку» таблицы. Итоговая строка также не должна быть отделена от таблицы. 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Оформление рисунков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качестве иллюстраций в Работе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как в черно-белом, так и в цветном варианте.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Все рисунки должны иметь наименование, которое помещают под иллюстрацией. Перед наименованием вводят слово «Рисунок» (с заглавной буквы), затем пробел, после чего указывают номер рисунка. Слово «Рисунок» начинают печатать с абзацного отступа. Рисунки должны иметь сквозную нумерацию по всему тексту. Точку в конце наименования рисунка не ставят. </w:t>
      </w:r>
      <w:r/>
    </w:p>
    <w:p>
      <w:pPr>
        <w:pStyle w:val="Normal"/>
        <w:spacing w:before="0" w:after="0"/>
        <w:ind w:firstLine="709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Например: </w:t>
      </w:r>
      <w:r/>
    </w:p>
    <w:p>
      <w:pPr>
        <w:pStyle w:val="Normal"/>
        <w:spacing w:before="0" w:after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Рисунок 1. Динамика индекса промышленного производства Российской Федерации, 2010-2016 гг. 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Оформление формул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Формулы следует выделять из текста в отдельную строку. Формулы имеют сквозную нумерацию по всему тексту. После номера формулы точка не ставится. Номер печатают арабскими цифрами в круглых скобках справа от формулы, на одном уровне с ней.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Пояснения символов и числовых коэффициентов, входящих в формулу, приводят непосредственно под формулой. 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 без двоеточия после него. После самой формулы перед пояснениями необходимо ставить запятую. </w:t>
      </w:r>
      <w:r/>
    </w:p>
    <w:p>
      <w:pPr>
        <w:pStyle w:val="Normal"/>
        <w:spacing w:before="0" w:after="0"/>
        <w:ind w:firstLine="709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Например: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 =1,2х </w:t>
      </w:r>
      <w:r>
        <w:rPr>
          <w:rFonts w:cs="Cambria Math" w:ascii="Cambria Math" w:hAnsi="Cambria Math"/>
          <w:sz w:val="24"/>
          <w:szCs w:val="24"/>
        </w:rPr>
        <w:t>₁</w:t>
      </w:r>
      <w:r>
        <w:rPr>
          <w:rFonts w:ascii="Times New Roman" w:hAnsi="Times New Roman"/>
          <w:sz w:val="24"/>
          <w:szCs w:val="24"/>
        </w:rPr>
        <w:t>+1.4х</w:t>
      </w:r>
      <w:r>
        <w:rPr>
          <w:rFonts w:cs="Cambria Math" w:ascii="Cambria Math" w:hAnsi="Cambria Math"/>
          <w:sz w:val="24"/>
          <w:szCs w:val="24"/>
        </w:rPr>
        <w:t>₂</w:t>
      </w:r>
      <w:r>
        <w:rPr>
          <w:rFonts w:ascii="Times New Roman" w:hAnsi="Times New Roman"/>
          <w:sz w:val="24"/>
          <w:szCs w:val="24"/>
        </w:rPr>
        <w:t xml:space="preserve"> + 3.3х</w:t>
      </w:r>
      <w:r>
        <w:rPr>
          <w:rFonts w:cs="Cambria Math" w:ascii="Cambria Math" w:hAnsi="Cambria Math"/>
          <w:sz w:val="24"/>
          <w:szCs w:val="24"/>
        </w:rPr>
        <w:t>₃</w:t>
      </w:r>
      <w:r>
        <w:rPr>
          <w:rFonts w:ascii="Times New Roman" w:hAnsi="Times New Roman"/>
          <w:sz w:val="24"/>
          <w:szCs w:val="24"/>
        </w:rPr>
        <w:t xml:space="preserve"> + 0.6х</w:t>
      </w:r>
      <w:r>
        <w:rPr>
          <w:rFonts w:cs="Cambria Math" w:ascii="Cambria Math" w:hAnsi="Cambria Math"/>
          <w:sz w:val="24"/>
          <w:szCs w:val="24"/>
        </w:rPr>
        <w:t>₄</w:t>
      </w:r>
      <w:r>
        <w:rPr>
          <w:rFonts w:ascii="Times New Roman" w:hAnsi="Times New Roman"/>
          <w:sz w:val="24"/>
          <w:szCs w:val="24"/>
        </w:rPr>
        <w:t xml:space="preserve"> + 0.999х</w:t>
      </w:r>
      <w:r>
        <w:rPr>
          <w:rFonts w:cs="Cambria Math" w:ascii="Cambria Math" w:hAnsi="Cambria Math"/>
          <w:sz w:val="24"/>
          <w:szCs w:val="24"/>
        </w:rPr>
        <w:t>₅</w:t>
      </w:r>
      <w:r>
        <w:rPr>
          <w:rFonts w:ascii="Times New Roman" w:hAnsi="Times New Roman"/>
          <w:sz w:val="24"/>
          <w:szCs w:val="24"/>
        </w:rPr>
        <w:t xml:space="preserve">                                              (1)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где х </w:t>
      </w:r>
      <w:r>
        <w:rPr>
          <w:rFonts w:cs="Cambria Math" w:ascii="Cambria Math" w:hAnsi="Cambria Math"/>
          <w:sz w:val="24"/>
          <w:szCs w:val="24"/>
        </w:rPr>
        <w:t>₁</w:t>
      </w:r>
      <w:r>
        <w:rPr>
          <w:rFonts w:ascii="Times New Roman" w:hAnsi="Times New Roman"/>
          <w:sz w:val="24"/>
          <w:szCs w:val="24"/>
        </w:rPr>
        <w:t xml:space="preserve"> – доля чистого оборотного капитала в активах;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cs="Cambria Math" w:ascii="Cambria Math" w:hAnsi="Cambria Math"/>
          <w:sz w:val="24"/>
          <w:szCs w:val="24"/>
        </w:rPr>
        <w:t>₂</w:t>
      </w:r>
      <w:r>
        <w:rPr>
          <w:rFonts w:ascii="Times New Roman" w:hAnsi="Times New Roman"/>
          <w:sz w:val="24"/>
          <w:szCs w:val="24"/>
        </w:rPr>
        <w:t xml:space="preserve"> – доля формирования активов за счет нераспределенной прибыли;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cs="Cambria Math" w:ascii="Cambria Math" w:hAnsi="Cambria Math"/>
          <w:sz w:val="24"/>
          <w:szCs w:val="24"/>
        </w:rPr>
        <w:t>₃</w:t>
      </w:r>
      <w:r>
        <w:rPr>
          <w:rFonts w:ascii="Times New Roman" w:hAnsi="Times New Roman"/>
          <w:sz w:val="24"/>
          <w:szCs w:val="24"/>
        </w:rPr>
        <w:t xml:space="preserve"> – рентабельность активов, рассчитанная исходя из прибыли до уплаты процентов и налогов;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cs="Cambria Math" w:ascii="Cambria Math" w:hAnsi="Cambria Math"/>
          <w:sz w:val="24"/>
          <w:szCs w:val="24"/>
        </w:rPr>
        <w:t>₄</w:t>
      </w:r>
      <w:r>
        <w:rPr>
          <w:rFonts w:ascii="Times New Roman" w:hAnsi="Times New Roman"/>
          <w:sz w:val="24"/>
          <w:szCs w:val="24"/>
        </w:rPr>
        <w:t xml:space="preserve"> – коэффициент соотношения рыночной стоимости акций и обязательств;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cs="Cambria Math" w:ascii="Cambria Math" w:hAnsi="Cambria Math"/>
          <w:sz w:val="24"/>
          <w:szCs w:val="24"/>
        </w:rPr>
        <w:t>₅</w:t>
      </w:r>
      <w:r>
        <w:rPr>
          <w:rFonts w:ascii="Times New Roman" w:hAnsi="Times New Roman"/>
          <w:sz w:val="24"/>
          <w:szCs w:val="24"/>
        </w:rPr>
        <w:t xml:space="preserve"> – коэффициент оборачиваемости активов.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Формулы, помещаемые в таблицах или в поясняющих данных к графическому материалу, не нумеруют. 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Оформление списка использованных источников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Список рекомендуемых источников приведен в Приложении 2 Методических указаний.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конце Работы располагается Список использованных источников, который позволяет автору документально подтвердить достоверность приводимых материалов и показывает степень изученности проблемы.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Список использованных источников включаются только те источники, которые непосредственно изучались при написании Работы. На каждый источник, указанный в списке использованных источников, в тексте должна быть ссылка. Список должен содержать 10-15 источников.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Источники должны располагаться в следующем порядке: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1) нормативные правовые акты; 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2) специальная литература;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3) электронные ресурсы.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Иностранная литература размещается в алфавитном порядке в конце списка каждого раздела.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использованных источников имеет сквозную единую нумерацию.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Источники следует нумеровать арабскими цифрами и печатать с нового абзаца.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Нормативные правовые акты должны быть приведены в следующей последовательности: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1) Конституция  Российской Федерации;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Кодексы Российской Федерации (Гражданский, Бюджетный, Налоговый и др.);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3) Указы (Президента РФ, высших должностных лиц субъектов РФ);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4) Законы (федеральные, субъектов РФ);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5) Постановления (Правительства РФ, высших исполнительных органов государственной власти субъектов РФ);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6) нормативные правовые акты органов местного самоуправления; </w:t>
      </w:r>
      <w:r/>
    </w:p>
    <w:p>
      <w:pPr>
        <w:pStyle w:val="Normal"/>
        <w:spacing w:before="0" w:after="0"/>
        <w:ind w:left="1066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7) письма, инструкции, распоряжения, приказы министерств и ведомств.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 библиографическом описании нормативных правовых актов сначала указывается статус документа (например, Федеральный закон, Указ Президента РФ и т.п.), затем его название, после чего приводится дата принятия документа, его номер и дата последней редакции. Все нормативно-правовые документы приводятся в актуальной редакции.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ascii="Times New Roman" w:hAnsi="Times New Roman"/>
          <w:sz w:val="24"/>
          <w:szCs w:val="24"/>
        </w:rPr>
        <w:t xml:space="preserve">Специальная литература включает монографии, научные статьи, диссертации, авторефераты диссертаций, книги, статистические сборники, статьи в периодических изданиях.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Списке использованной литературы источники располагаются строго в алфавитном порядке по фамилии авторов или, если автор не указан, по названию работы.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Информация, размещенная в Интернете, является электронным ресурсом удаленного доступа и обязательно используется при составлении Списка использованных источников.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Библиографическое описание документов осуществляется в соответствии с требованиями ГОСТ 7.1-2003. 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Оформление приложений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ascii="Times New Roman" w:hAnsi="Times New Roman"/>
          <w:sz w:val="24"/>
          <w:szCs w:val="24"/>
        </w:rPr>
        <w:t xml:space="preserve">Приложения – заключительная часть Работы, которая имеет дополнительное, обычно справочное значение, но является необходимой для более полного освещения темы. По содержанию приложения могут быть очень разнообразны: копии подлинных документов, выдержки из отчетных материалов, отдельные положения из инструкций и правил и т.д. По форме они могут представлять собой текст, таблицы, графики, карты. Приложения размещаются после Списка использованных источников.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Приложение обозначают в порядке ссылок на них в тексте, цифрами или прописными буквами русского алфавита, которые приводятся после слова «Приложение».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Каждое приложение должно начинаться с нового листа, иметь обозначение и тематический заголовок. Наверху на правой стороне страницы печатают (пишут) строчными буквами с первой прописной слово «Приложение» и его номер. Ниже приводят отдельной строкой заголовок, который располагают симметрично относительно текста, печатают строчными буквами с первой прописной и выделяют полужирным шрифтом.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КРИТЕРИИ ОЦЕНКИ КУРСОВОЙ РАБОТЫ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 xml:space="preserve">«отлично» </w:t>
      </w:r>
      <w:r>
        <w:rPr>
          <w:rFonts w:ascii="Times New Roman" w:hAnsi="Times New Roman"/>
          <w:sz w:val="24"/>
          <w:szCs w:val="24"/>
        </w:rPr>
        <w:t xml:space="preserve">выставляется за Работу, в которой: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Обоснована актуальность темы.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теоретической части дан полный анализ исследований по проблеме, освещены вопросы истории ее изучения в науке.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основании теоретического анализа сформулирована цель и конкретные задачи исследования.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Показана осведомленность студента о современных исследовательских направлениях и методиках.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Работе используются различные методы анализа полученных результатов.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Изложение Работы иллюстрируется графиками, таблицами, схемами.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заключении сформулированы развернутые, самостоятельные выводы, составлен исчерпывающий глоссарий профессиональных терминов по исследуемой проблеме.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защите студент демонстрирует свободное владение материалом, знание теоретических подходов к проблеме, уверенно отвечает на вопросы комиссии.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«хорошо»</w:t>
      </w:r>
      <w:r>
        <w:rPr>
          <w:rFonts w:ascii="Times New Roman" w:hAnsi="Times New Roman"/>
          <w:sz w:val="24"/>
          <w:szCs w:val="24"/>
        </w:rPr>
        <w:t xml:space="preserve"> выставляется за Работу, в которой: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Во введении раскрыта актуальность проблемы исследования.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теоретической части представлен изученный перечень основной литературы по теме, определены и выявлены теоретические основы проблемы, выделены основные теоретические понятия.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Сформулированы задачи исследования, методы исследования соответствующие поставленным задачам.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Студент ориентируется в современных исследовательских методиках.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Отмечается недостаточность самостоятельного анализа.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заключении сформулированы общие выводы, составлен глоссарий. 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Работа правильно оформлена. Все этапы Работы выполнены в срок.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Неуверенная защита Работы, даны ответы на значительную часть вопросов. </w:t>
      </w:r>
      <w:r/>
    </w:p>
    <w:p>
      <w:pPr>
        <w:pStyle w:val="Normal"/>
        <w:spacing w:before="0" w:after="0"/>
        <w:ind w:firstLine="709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«удовлетворительно»</w:t>
      </w:r>
      <w:r>
        <w:rPr>
          <w:rFonts w:ascii="Times New Roman" w:hAnsi="Times New Roman"/>
          <w:sz w:val="24"/>
          <w:szCs w:val="24"/>
        </w:rPr>
        <w:t xml:space="preserve"> выставляется за Работу, в которой: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Раскрыта актуальность темы.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ascii="Times New Roman" w:hAnsi="Times New Roman"/>
          <w:sz w:val="24"/>
          <w:szCs w:val="24"/>
        </w:rPr>
        <w:t xml:space="preserve">Теоретический анализ проблемы дан описательно.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Суждения отличаются поверхностностью, слабой аргументацией.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Методы исследования соответствуют поставленным задачам.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Анализ полученных данных носит описательный характер.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заключении сформулированы лишь общие выводы, приведен неполный глоссарий. 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Библиография ограничена.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Работа оформлена в соответствии с требованиями.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Студент на защите не может аргументировать основную часть выводов, плохо отвечает на вопросы, т.е. слабо владеет материалом темы.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выставляется, если работа соответствует предъявляемым к ней требованиям, но на защите студент не владеет материалом темы. </w:t>
      </w:r>
      <w:r/>
    </w:p>
    <w:p>
      <w:pPr>
        <w:pStyle w:val="Normal"/>
        <w:spacing w:before="0" w:after="0"/>
        <w:ind w:firstLine="7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Если курсовая Работа не соответствует указанным требованиям, то она не допускается к защите.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ПРИМЕРНАЯ ТЕМАТИКА КУРСОВЫХ РАБОТ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Актуальные проблемы и итоги бюджетной политики и социально-экономического развития России в 2010-2017 гг.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Бюджетная система Российской Федерации, принципы ее функционирования.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Бюджетное планирование в системе управления государственными и муниципальными финансами.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Влияние государственного и муниципального долга на состояние государственных и муниципальных финансов.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Государственные (муниципальные) программы как основной инструмент повышения эффективности бюджетных расходов.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Государственные и муниципальные заимствования в системе финансовых отношений.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Государственный внешний долг Российской Федерации, его характеристика.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Государственный внутренний долг Российской Федерации, его характеристика.</w:t>
      </w:r>
      <w:r/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ind w:left="0" w:hanging="36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Доходы бюджетов субъектов Российской Федерации, пути их роста.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Доходы местных бюджетов, пути их роста.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Доходы федерального бюджета, пути их роста.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Инструменты управления государственными и муниципальными финансами.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Механизм межбюджетного регулирования в государственном и муниципальном финансовом управлении 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Муниципальные бюджеты.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Направления повышения эффективности использования государственных и муниципальных финансовых ресурсов в Российской Федерации.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Направления повышения эффективности управления государственными и муниципальными финансами 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Обеспечение сбалансированности местных бюджетов.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142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Организация бюджетного процесса в Российской Федерации на региональном уровне.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142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Организация бюджетного процесса в Российской Федерации на федеральном уровне.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pacing w:val="3"/>
          <w:sz w:val="24"/>
          <w:szCs w:val="24"/>
        </w:rPr>
        <w:t>Организация и формы государственных заимствований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pacing w:val="3"/>
          <w:sz w:val="24"/>
          <w:szCs w:val="24"/>
        </w:rPr>
        <w:t>Организация и формы муниципальных заимствований в Российской Федерации.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Организация управления государственными финансами в Российской Федерации.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Организация управления муниципальными финансами 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Основные направления современной налоговой политики в России.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Основные цели, направления и результаты бюджетной политики в России.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Особенности бюджетного федерализма 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142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Особенности организации бюджетного процесса в Российской Федерации на местном уровне.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pacing w:val="3"/>
          <w:sz w:val="24"/>
          <w:szCs w:val="24"/>
        </w:rPr>
        <w:t>Особенности организации государственных заимствований субъектов Российской Федерации.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pacing w:val="-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собенности организации государственных и муниципальных заимствований в зарубежных государствах.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Особенности формирования бюджетов муниципальных образований различного вида.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Особенности формирования территориальных фондов обязательного медицинского страхования.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Пенсионный фонд Российской Федерации, особенности его формирования.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Проблемы обеспечения долгосрочной устойчивости государственных и муниципальных финансов в России.</w:t>
      </w:r>
      <w:r/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ind w:left="0" w:hanging="36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Расходы бюджетов субъектов Российской Федерации, пути повышения их эффективности.</w:t>
      </w:r>
      <w:r/>
    </w:p>
    <w:p>
      <w:pPr>
        <w:pStyle w:val="ListParagraph"/>
        <w:widowControl w:val="false"/>
        <w:numPr>
          <w:ilvl w:val="0"/>
          <w:numId w:val="2"/>
        </w:numPr>
        <w:spacing w:lineRule="auto" w:line="276"/>
        <w:ind w:left="0" w:hanging="36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Расходы местных бюджетов, пути повышения их эффективности.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Расходы федерального бюджета, пути повышения их эффективности.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Роль межбюджетных трансфертов в формировании бюджетов субъектов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Роль межбюджетных трансфертов в формировании местных бюджетов.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Роль органов государственного финансового контроля в управлении государственными финансами.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Роль финансовых органов в управлении государственными и муниципальными финансами.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Сбалансированность бюджетов.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финансового обеспечения государственных (муниципальных) услуг.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Сравнительная характеристика бюджетного устройства федеративного и унитарного государства.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Сравнительная характеристика организации государственных и муниципальных финансов в федеративных и унитарных государствах.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Среднесрочное и программно-целевое планирование и его использование в современных условиях.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Становление и развитие теории государственных и муниципальных финансов.</w:t>
      </w:r>
      <w:r/>
    </w:p>
    <w:p>
      <w:pPr>
        <w:pStyle w:val="13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Сущность, состав, место и роль государственных и муниципальных финансов.</w:t>
      </w:r>
      <w:r/>
    </w:p>
    <w:p>
      <w:pPr>
        <w:pStyle w:val="Normal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Управление государственным долгом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Управление государственными и муниципальными финансами в условиях рыночных отношений.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Управление средствами Резервного фонда и Фонда национального благосостояния.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Федеральный фонд обязательного медицинского страхования, особенности его формирования.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Финансовая политика 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Финансовое регулирование в системе управления финансами.</w:t>
      </w:r>
      <w:r/>
    </w:p>
    <w:p>
      <w:pPr>
        <w:pStyle w:val="13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Финансовое регулирование социально-экономических процессов в России.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Финансовый контроль в системе управления финансами.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Фонд социального страхования Российской Федерации, его формирование.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Характеристика налоговых доходов бюджета.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Экономическое содержание и роль бюджета государства 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spacing w:before="0" w:after="0"/>
        <w:ind w:left="0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Этапы развития межбюджетных отношений в Российской Федерации.</w:t>
      </w:r>
      <w:r/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  <w:tab w:val="left" w:pos="142" w:leader="none"/>
        </w:tabs>
        <w:spacing w:before="0" w:after="0"/>
        <w:ind w:left="0" w:hanging="360"/>
        <w:jc w:val="both"/>
      </w:pPr>
      <w:r>
        <w:rPr>
          <w:rFonts w:ascii="Times New Roman" w:hAnsi="Times New Roman"/>
          <w:sz w:val="24"/>
          <w:szCs w:val="24"/>
        </w:rPr>
        <w:t>Этапы реформирования бюджетного процесса в Российской Федерации.</w:t>
      </w:r>
      <w:r>
        <w:br w:type="page"/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142" w:leader="none"/>
        </w:tabs>
        <w:spacing w:before="0" w:after="0"/>
        <w:ind w:left="0" w:hanging="0"/>
        <w:jc w:val="both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before="0" w:after="0"/>
        <w:ind w:firstLine="709"/>
        <w:jc w:val="right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  <w:r/>
    </w:p>
    <w:p>
      <w:pPr>
        <w:pStyle w:val="Normal"/>
        <w:spacing w:before="0" w:after="0"/>
        <w:ind w:firstLine="709"/>
        <w:jc w:val="center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  <w:r/>
    </w:p>
    <w:p>
      <w:pPr>
        <w:pStyle w:val="Normal"/>
        <w:spacing w:before="0" w:after="0"/>
        <w:ind w:firstLine="709"/>
        <w:jc w:val="both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Бюджетный кодекс Российской Федерации //  http://www.consultant.ru/document/cons_doc_LAW_19702/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Налоговый кодекс Российской Федерации // http://www.consultant.ru/document/cons_doc_LAW_19671/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Федеральный закон "О федеральном бюджете на 2016 год" от 14.12.2015 N 359-ФЗ (последняя редакция)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Федеральный закон от 19.12.2016 N 415-ФЗ (ред. от 01.07.2017) "О федеральном бюджете на 2017 год и на плановый период 2018 и 2019 годов"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hyperlink r:id="rId2">
        <w:r>
          <w:rPr>
            <w:rStyle w:val="Style15"/>
            <w:rFonts w:cs="Times New Roman" w:ascii="Times New Roman" w:hAnsi="Times New Roman"/>
            <w:b w:val="false"/>
            <w:sz w:val="24"/>
            <w:szCs w:val="24"/>
          </w:rPr>
          <w:t>Федеральный закон от 31.10.2016 N 377-ФЗ "Об исполнении федерального бюджета за 2015 год"</w:t>
        </w:r>
      </w:hyperlink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Федеральный закон от 06.10.2003 N 131-ФЗ (ред. от 29.06.2015) "Об общих принципах организации местного самоуправления в Российской Федерации" (с изм. и доп., вступ. в силу с 11.07.2015)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Федеральный закон от 14.11.2002 N 161-ФЗ (ред. от 13.07.2015) "О государственных и муниципальных унитарных предприятиях"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Федеральный закон от 03.11.2006 N 174-ФЗ (ред. от 04.11.2014) "Об автономных учреждениях"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Федеральный закон от 12.01.1996 N 7-ФЗ (ред. от 13.07.2015) "О некоммерческих организациях"  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«О территориях опережающего социально-экономического развития в Российской Федерации». Федеральный закон принят Государственной Думой 23 декабря 2014 года и одобрен Советом Федерации 25 декабря 2014 года.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bCs w:val="false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Основные направления налоговой политики Российской Федерации на 2016 год и на плановый период 2017 и 2018 годов</w:t>
      </w:r>
      <w:r>
        <w:rPr>
          <w:rFonts w:cs="Times New Roman" w:ascii="Times New Roman" w:hAnsi="Times New Roman"/>
          <w:b w:val="false"/>
          <w:sz w:val="24"/>
          <w:szCs w:val="24"/>
          <w:shd w:fill="FFFFFF" w:val="clear"/>
        </w:rPr>
        <w:t xml:space="preserve">:  </w:t>
      </w:r>
      <w:hyperlink r:id="rId3">
        <w:r>
          <w:rPr>
            <w:rStyle w:val="Style15"/>
            <w:rFonts w:cs="Times New Roman" w:ascii="Times New Roman" w:hAnsi="Times New Roman"/>
            <w:b w:val="false"/>
            <w:sz w:val="24"/>
            <w:szCs w:val="24"/>
          </w:rPr>
          <w:t>http://minfin.ru</w:t>
        </w:r>
      </w:hyperlink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"Основные направления бюджетной политики на 2017 год и на плановый период 2018 и 2019 годов"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Алехин Б.И. Государственные финансы : учебник для академического бакалавриата. – М.: Юрайт, 2017.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Бабич, А.М. Государственные и муниципальные финансы : учебник / А.М. Бабич, Л.Н. Павлова. - 2-е изд., перераб. и доп. - М. : Юнити-Дана, 2015. - 703 с. - ISBN 5-238-00413-3 ; То же [Электронный ресурс]. - URL: </w:t>
      </w:r>
      <w:hyperlink r:id="rId4">
        <w:r>
          <w:rPr>
            <w:rStyle w:val="Style15"/>
            <w:rFonts w:cs="Times New Roman" w:ascii="Times New Roman" w:hAnsi="Times New Roman"/>
            <w:b w:val="false"/>
            <w:sz w:val="24"/>
            <w:szCs w:val="24"/>
          </w:rPr>
          <w:t>http://biblioclub.ru/index.php?page=book&amp;id=116709</w:t>
        </w:r>
      </w:hyperlink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Гамова, Э.М. Государственные и муниципальные финансы : учебное пособие / Э.М. Гамова, Е.Е. Гамова ; Поволжский государственный технологический университет ; под ред. Л.С. Емельяновой. - Йошкар-Ола : ПГТУ, 2015. - 160 с. : ил. - Библ. в кн. - ISBN 978-5-8158-1544-5 ; То же [Электронный ресурс]. - URL: </w:t>
      </w:r>
      <w:hyperlink r:id="rId5">
        <w:r>
          <w:rPr>
            <w:rStyle w:val="Style15"/>
            <w:rFonts w:cs="Times New Roman" w:ascii="Times New Roman" w:hAnsi="Times New Roman"/>
            <w:b w:val="false"/>
            <w:sz w:val="24"/>
            <w:szCs w:val="24"/>
          </w:rPr>
          <w:t>http://biblioclub.ru/index.php?page=book&amp;id=439183</w:t>
        </w:r>
      </w:hyperlink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Государственные финансы : учебное пособие для академического бакалавриата ; под общей редакцией профессора Н.И.Берзона. – М.: Юрайт, 2017.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Государственные и муниципальные финансы : учебник / Г.Б. Поляк, Н.Д. Амаглобели, А.Н. Литвиненко и др. ; под ред. Г.Б. Поляка. - 3-е изд., перераб. и доп. - М. : Юнити-Дана, 2015. - 375 с. : табл., схемы - Библиогр. в кн. - ISBN 978-5-238-01466-1 ; То же [Электронный ресурс]. - URL: </w:t>
      </w:r>
      <w:hyperlink r:id="rId6">
        <w:r>
          <w:rPr>
            <w:rStyle w:val="Style15"/>
            <w:rFonts w:cs="Times New Roman" w:ascii="Times New Roman" w:hAnsi="Times New Roman"/>
            <w:b w:val="false"/>
            <w:sz w:val="24"/>
            <w:szCs w:val="24"/>
          </w:rPr>
          <w:t>http://biblioclub.ru/index.php?page=book&amp;id=114699</w:t>
        </w:r>
      </w:hyperlink>
      <w:r>
        <w:rPr>
          <w:rFonts w:cs="Times New Roman" w:ascii="Times New Roman" w:hAnsi="Times New Roman"/>
          <w:b w:val="false"/>
          <w:sz w:val="24"/>
          <w:szCs w:val="24"/>
        </w:rPr>
        <w:t> 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Государственные и муниципальные финансы : учебное пособие / О.В. Малиновская, И.П. Скобелева, А.В. Бровкина. — Москва : КноРус, 2016.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Государственный и муниципальный долг: теория, методология, практика : учебное пособие / С.Н. Солдаткин. — Москва : КноРус, 2017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Камилов Д.А.  Бюджетная политика и основные виды государственных социальных расходов // ж.Экономические науки, № 5 (78), 2011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Кибилдс А.А.  Мировой опыт в развитии межбюджетных отношений в Российской Федерации // ж.Экономические науки, № 5 (78), 2011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Малиновская О.В. Государственные и муниципальные финансы : учебное пособие / О.В. Малиновская, И.П. Скобелева, А.В. Бровкина. — 3-е изд., перераб. и доп.— М. : КНОРУС, 2016.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Мысляева И.Н. Государственные и муниципальные финансы: Учебник. Изд. 3-е, перераб. и доп. – М.: ИНФРА-М, 2013.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Подъяблонская, Л.М. Государственные и муниципальные финансы : учебник / Л.М. Подъяблонская. - М. : Юнити-Дана, 2015. - 559 с. : табл., схемы - Библиогр.: с. 552-553. - ISBN 978-5-238-01488-3 ; То же [Электронный ресурс]. - URL: </w:t>
      </w:r>
      <w:hyperlink r:id="rId7">
        <w:r>
          <w:rPr>
            <w:rStyle w:val="Style15"/>
            <w:rFonts w:cs="Times New Roman" w:ascii="Times New Roman" w:hAnsi="Times New Roman"/>
            <w:b w:val="false"/>
            <w:sz w:val="24"/>
            <w:szCs w:val="24"/>
          </w:rPr>
          <w:t>http://biblioclub.ru/index.php?page=book&amp;id=114698</w:t>
        </w:r>
      </w:hyperlink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Финансы : учебник / коллектив авторов ; под ред. Е.В.Маркиной – М.: КНОРУС, 2015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Черкасова, Л.А. Бюджетный процесс и бюджетное планирование : учебное пособие / Л.А. Черкасова ; Поволжский государственный технологический университет. - Йошкар-Ола : ПГТУ, 2015. - 172 с. - Библиогр. в кн. - ISBN 978-5-8158-1476-9 ; То же [Электронный ресурс]. - URL: </w:t>
      </w:r>
      <w:hyperlink r:id="rId8">
        <w:r>
          <w:rPr>
            <w:rStyle w:val="Style15"/>
            <w:rFonts w:cs="Times New Roman" w:ascii="Times New Roman" w:hAnsi="Times New Roman"/>
            <w:b w:val="false"/>
            <w:sz w:val="24"/>
            <w:szCs w:val="24"/>
          </w:rPr>
          <w:t>http://biblioclub.ru/index.php?page=book&amp;id=437057</w:t>
        </w:r>
      </w:hyperlink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Шимширт Н.Д. Управление государственными и муниципальными финансами : учебник. – М.: Альфа-М : ИНФРА-М, 2016.</w:t>
      </w:r>
      <w:r/>
    </w:p>
    <w:p>
      <w:pPr>
        <w:pStyle w:val="1"/>
        <w:keepNext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Эрдынеев Ц.К. Анализ организации и осуществления государственного финансового контроля за правомерным и эффективным использованием бюджетных средств // ж.Экономические науки, № 6 (91), 2012</w:t>
      </w:r>
      <w:r/>
    </w:p>
    <w:p>
      <w:pPr>
        <w:pStyle w:val="1"/>
        <w:shd w:val="clear" w:color="auto" w:themeColor="" w:themeTint="" w:themeShade="" w:fill="FFFFFF" w:themeFill="" w:themeFillTint="" w:themeFillShade=""/>
        <w:spacing w:before="0" w:after="0"/>
        <w:rPr>
          <w:sz w:val="24"/>
          <w:b w:val="false"/>
          <w:sz w:val="24"/>
          <w:b w:val="false"/>
          <w:szCs w:val="24"/>
          <w:bCs/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  <w:r/>
    </w:p>
    <w:p>
      <w:pPr>
        <w:pStyle w:val="1"/>
        <w:shd w:val="clear" w:color="auto" w:themeColor="" w:themeTint="" w:themeShade="" w:fill="FFFFFF" w:themeFill="" w:themeFillTint="" w:themeFillShade="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Интернет-ресурсы</w:t>
      </w:r>
      <w:r/>
    </w:p>
    <w:p>
      <w:pPr>
        <w:pStyle w:val="Normal"/>
      </w:pPr>
      <w:r>
        <w:rPr/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Администрация городского поселения Конаково: </w:t>
      </w:r>
      <w:hyperlink r:id="rId9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http://www.konakovo.in/regulatory/folder4/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Администрация Клинского муниципального района Московской области : </w:t>
      </w:r>
      <w:hyperlink r:id="rId10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http://www.klincity.ru/mun_budget/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ОТРАДНЕНСКОЕ КРАСНОГОРСКОГО МУНИЦИПАЛЬНОГО РАЙОНА МОСКОВСКОЙ ОБЛАСТИ: </w:t>
      </w:r>
      <w:hyperlink r:id="rId11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http://www.otradnenskoe-adm.ru/budget/budget/2015/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Развилковское: </w:t>
      </w:r>
      <w:hyperlink r:id="rId12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http://www.razvilka-mo.ru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hd w:fill="FFFFFF" w:val="clear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Аналитический центр при Правительстве Российской Федерации: </w:t>
      </w:r>
      <w:hyperlink r:id="rId13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  <w:shd w:fill="FFFFFF" w:val="clear"/>
          </w:rPr>
          <w:t>http://ac.gov.ru/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Бюджет города Москвы: </w:t>
      </w:r>
      <w:hyperlink r:id="rId14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http://budget.mos.ru/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hyperlink r:id="rId15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 xml:space="preserve">Закон города Москвы от 19.11.2014 г. № 54 "О бюджете города Москвы на 2015 год и плановый период 2016 и 2017 годов" 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финансов Санкт-Петербурга: </w:t>
      </w:r>
      <w:hyperlink r:id="rId16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http://www.fincom.spb.ru/comfin/budjet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Министерство управления финансами Самарской области: </w:t>
      </w:r>
      <w:hyperlink r:id="rId17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http://minfin-samara.ru/execution/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Министерство финансов. Официальный сайт. Информационно-аналитический раздел </w:t>
      </w:r>
      <w:hyperlink r:id="rId18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http://info.minfin.ru/</w:t>
        </w:r>
      </w:hyperlink>
      <w:r/>
    </w:p>
    <w:p>
      <w:pPr>
        <w:pStyle w:val="1"/>
        <w:numPr>
          <w:ilvl w:val="0"/>
          <w:numId w:val="3"/>
        </w:numPr>
        <w:shd w:val="clear" w:color="auto" w:themeColor="" w:themeTint="" w:themeShade="" w:fill="FFFFFF" w:themeFill="" w:themeFillTint="" w:themeFillShade=""/>
        <w:spacing w:before="0" w:after="0"/>
        <w:rPr>
          <w:sz w:val="24"/>
          <w:b w:val="false"/>
          <w:sz w:val="24"/>
          <w:b w:val="false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Министерство экономического развития. Направления деятельности. Приватизация федерального имущества: </w:t>
      </w:r>
      <w:hyperlink r:id="rId19">
        <w:r>
          <w:rPr>
            <w:rStyle w:val="Style15"/>
            <w:rFonts w:cs="Times New Roman" w:ascii="Times New Roman" w:hAnsi="Times New Roman"/>
            <w:b w:val="false"/>
            <w:color w:val="00000A"/>
            <w:sz w:val="24"/>
            <w:szCs w:val="24"/>
          </w:rPr>
          <w:t>http://economy.gov.ru/</w:t>
        </w:r>
      </w:hyperlink>
      <w:r/>
    </w:p>
    <w:p>
      <w:pPr>
        <w:pStyle w:val="ListParagraph"/>
        <w:numPr>
          <w:ilvl w:val="0"/>
          <w:numId w:val="3"/>
        </w:numPr>
        <w:rPr>
          <w:sz w:val="24"/>
          <w:shd w:fill="FFFFFF" w:val="clear"/>
          <w:sz w:val="24"/>
          <w:szCs w:val="24"/>
          <w:bCs/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shd w:fill="FFFFFF" w:val="clear"/>
        </w:rPr>
        <w:t>Оценка эффективности деятельности органов исполнительной власти субъектов Российской Федерации по указу №825</w:t>
      </w:r>
      <w:r/>
    </w:p>
    <w:p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Федеральное казначейство: </w:t>
      </w:r>
      <w:hyperlink r:id="rId20"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http://data</w:t>
        </w:r>
        <w:bookmarkStart w:id="0" w:name="_GoBack"/>
        <w:bookmarkEnd w:id="0"/>
        <w:r>
          <w:rPr>
            <w:rStyle w:val="Style15"/>
            <w:rFonts w:cs="Times New Roman" w:ascii="Times New Roman" w:hAnsi="Times New Roman"/>
            <w:color w:val="00000A"/>
            <w:sz w:val="24"/>
            <w:szCs w:val="24"/>
          </w:rPr>
          <w:t>marts.roskazna.ru/</w:t>
        </w:r>
      </w:hyperlink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ind w:left="107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uiPriority="0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uiPriority="0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</w:latentStyles>
  <w:style w:type="paragraph" w:styleId="Normal" w:default="1">
    <w:name w:val="Normal"/>
    <w:qFormat/>
    <w:rsid w:val="000655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06557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rsid w:val="00065575"/>
    <w:rPr>
      <w:rFonts w:ascii="Arial" w:hAnsi="Arial" w:eastAsia="Calibri" w:cs="Arial"/>
      <w:b/>
      <w:bCs/>
      <w:sz w:val="32"/>
      <w:szCs w:val="32"/>
    </w:rPr>
  </w:style>
  <w:style w:type="character" w:styleId="Style13" w:customStyle="1">
    <w:name w:val="Текст Знак"/>
    <w:basedOn w:val="DefaultParagraphFont"/>
    <w:link w:val="a3"/>
    <w:semiHidden/>
    <w:rsid w:val="00065575"/>
    <w:rPr>
      <w:rFonts w:ascii="Courier New" w:hAnsi="Courier New" w:eastAsia="Calibri" w:cs="Courier New"/>
      <w:lang w:eastAsia="ru-RU"/>
    </w:rPr>
  </w:style>
  <w:style w:type="character" w:styleId="Style14" w:customStyle="1">
    <w:name w:val="Основной текст с отступом Знак"/>
    <w:basedOn w:val="DefaultParagraphFont"/>
    <w:link w:val="a7"/>
    <w:semiHidden/>
    <w:locked/>
    <w:rsid w:val="00b21907"/>
    <w:rPr>
      <w:rFonts w:ascii="TimesET" w:hAnsi="TimesET" w:eastAsia="Calibri"/>
      <w:sz w:val="28"/>
    </w:rPr>
  </w:style>
  <w:style w:type="character" w:styleId="12" w:customStyle="1">
    <w:name w:val="Основной текст с отступом Знак1"/>
    <w:basedOn w:val="DefaultParagraphFont"/>
    <w:uiPriority w:val="99"/>
    <w:semiHidden/>
    <w:rsid w:val="00b21907"/>
    <w:rPr>
      <w:rFonts w:ascii="Calibri" w:hAnsi="Calibri" w:eastAsia="Calibri" w:cs="Times New Roman"/>
    </w:rPr>
  </w:style>
  <w:style w:type="character" w:styleId="Style15">
    <w:name w:val="Интернет-ссылка"/>
    <w:basedOn w:val="DefaultParagraphFont"/>
    <w:uiPriority w:val="99"/>
    <w:unhideWhenUsed/>
    <w:rsid w:val="00446887"/>
    <w:rPr>
      <w:color w:val="0563C1" w:themeColor="hyperlink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rsid w:val="005a2adc"/>
    <w:rPr>
      <w:color w:val="808080"/>
      <w:shd w:fill="E6E6E6" w:val="clear"/>
    </w:rPr>
  </w:style>
  <w:style w:type="character" w:styleId="Strong">
    <w:name w:val="Strong"/>
    <w:basedOn w:val="DefaultParagraphFont"/>
    <w:uiPriority w:val="22"/>
    <w:qFormat/>
    <w:rsid w:val="00f95693"/>
    <w:rPr>
      <w:b/>
      <w:bCs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NewRomanPSMT"/>
      <w:b w:val="false"/>
      <w:i w:val="false"/>
      <w:sz w:val="20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Ari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Arial"/>
    </w:rPr>
  </w:style>
  <w:style w:type="paragraph" w:styleId="PlainText">
    <w:name w:val="Plain Text"/>
    <w:basedOn w:val="Normal"/>
    <w:link w:val="a4"/>
    <w:semiHidden/>
    <w:unhideWhenUsed/>
    <w:rsid w:val="00065575"/>
    <w:pPr>
      <w:spacing w:lineRule="auto" w:line="240" w:before="0" w:after="0"/>
    </w:pPr>
    <w:rPr>
      <w:rFonts w:ascii="Courier New" w:hAnsi="Courier New" w:cs="Courier New"/>
      <w:lang w:eastAsia="ru-RU"/>
    </w:rPr>
  </w:style>
  <w:style w:type="paragraph" w:styleId="Pa6" w:customStyle="1">
    <w:name w:val="Pa6"/>
    <w:basedOn w:val="Normal"/>
    <w:uiPriority w:val="99"/>
    <w:rsid w:val="00b21907"/>
    <w:pPr>
      <w:spacing w:lineRule="atLeast" w:line="221" w:before="0" w:after="0"/>
    </w:pPr>
    <w:rPr>
      <w:rFonts w:ascii="Times New Roman" w:hAnsi="Times New Roman" w:eastAsia="Calibri" w:eastAsiaTheme="minorHAnsi"/>
      <w:sz w:val="24"/>
      <w:szCs w:val="24"/>
    </w:rPr>
  </w:style>
  <w:style w:type="paragraph" w:styleId="ListParagraph">
    <w:name w:val="List Paragraph"/>
    <w:basedOn w:val="Normal"/>
    <w:qFormat/>
    <w:rsid w:val="00b21907"/>
    <w:pPr>
      <w:spacing w:lineRule="auto" w:line="240" w:before="0" w:after="0"/>
      <w:ind w:left="720" w:hanging="0"/>
      <w:contextualSpacing/>
      <w:jc w:val="both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1">
    <w:name w:val="Основной текст с отступом"/>
    <w:basedOn w:val="Normal"/>
    <w:link w:val="a6"/>
    <w:semiHidden/>
    <w:unhideWhenUsed/>
    <w:rsid w:val="00b21907"/>
    <w:pPr>
      <w:tabs>
        <w:tab w:val="left" w:pos="643" w:leader="none"/>
      </w:tabs>
      <w:spacing w:lineRule="atLeast" w:line="360" w:before="0" w:after="0"/>
      <w:ind w:firstLine="482"/>
      <w:jc w:val="both"/>
    </w:pPr>
    <w:rPr>
      <w:rFonts w:ascii="TimesET" w:hAnsi="TimesET" w:cs="" w:cstheme="minorBidi"/>
      <w:sz w:val="28"/>
    </w:rPr>
  </w:style>
  <w:style w:type="paragraph" w:styleId="13" w:customStyle="1">
    <w:name w:val="Абзац списка1"/>
    <w:basedOn w:val="Normal"/>
    <w:rsid w:val="004d3151"/>
    <w:pPr>
      <w:spacing w:before="0" w:after="200"/>
      <w:ind w:left="720" w:hanging="0"/>
      <w:contextualSpacing/>
    </w:pPr>
    <w:rPr>
      <w:rFonts w:eastAsia="Times New Roman"/>
    </w:rPr>
  </w:style>
  <w:style w:type="paragraph" w:styleId="14" w:customStyle="1">
    <w:name w:val="Без интервала1"/>
    <w:uiPriority w:val="99"/>
    <w:rsid w:val="0085782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206543/" TargetMode="External"/><Relationship Id="rId3" Type="http://schemas.openxmlformats.org/officeDocument/2006/relationships/hyperlink" Target="http://minfin.ru/" TargetMode="External"/><Relationship Id="rId4" Type="http://schemas.openxmlformats.org/officeDocument/2006/relationships/hyperlink" Target="http://biblioclub.ru/index.php?page=book&amp;id=116709" TargetMode="External"/><Relationship Id="rId5" Type="http://schemas.openxmlformats.org/officeDocument/2006/relationships/hyperlink" Target="http://biblioclub.ru/index.php?page=book&amp;id=439183" TargetMode="External"/><Relationship Id="rId6" Type="http://schemas.openxmlformats.org/officeDocument/2006/relationships/hyperlink" Target="http://biblioclub.ru/index.php?page=book&amp;id=114699" TargetMode="External"/><Relationship Id="rId7" Type="http://schemas.openxmlformats.org/officeDocument/2006/relationships/hyperlink" Target="http://biblioclub.ru/index.php?page=book&amp;id=114698" TargetMode="External"/><Relationship Id="rId8" Type="http://schemas.openxmlformats.org/officeDocument/2006/relationships/hyperlink" Target="http://biblioclub.ru/index.php?page=book&amp;id=437057" TargetMode="External"/><Relationship Id="rId9" Type="http://schemas.openxmlformats.org/officeDocument/2006/relationships/hyperlink" Target="http://www.konakovo.in/regulatory/folder4/" TargetMode="External"/><Relationship Id="rId10" Type="http://schemas.openxmlformats.org/officeDocument/2006/relationships/hyperlink" Target="http://www.klincity.ru/mun_budget/" TargetMode="External"/><Relationship Id="rId11" Type="http://schemas.openxmlformats.org/officeDocument/2006/relationships/hyperlink" Target="http://www.otradnenskoe-adm.ru/budget/budget/2015/" TargetMode="External"/><Relationship Id="rId12" Type="http://schemas.openxmlformats.org/officeDocument/2006/relationships/hyperlink" Target="http://www.razvilka-mo.ru/" TargetMode="External"/><Relationship Id="rId13" Type="http://schemas.openxmlformats.org/officeDocument/2006/relationships/hyperlink" Target="http://ac.gov.ru/" TargetMode="External"/><Relationship Id="rId14" Type="http://schemas.openxmlformats.org/officeDocument/2006/relationships/hyperlink" Target="http://budget.mos.ru/" TargetMode="External"/><Relationship Id="rId15" Type="http://schemas.openxmlformats.org/officeDocument/2006/relationships/hyperlink" Target="http://budget.mos.ru/BinaryData/BUDGET_2015" TargetMode="External"/><Relationship Id="rId16" Type="http://schemas.openxmlformats.org/officeDocument/2006/relationships/hyperlink" Target="http://www.fincom.spb.ru/comfin/budjet" TargetMode="External"/><Relationship Id="rId17" Type="http://schemas.openxmlformats.org/officeDocument/2006/relationships/hyperlink" Target="http://minfin-samara.ru/execution/" TargetMode="External"/><Relationship Id="rId18" Type="http://schemas.openxmlformats.org/officeDocument/2006/relationships/hyperlink" Target="http://info.minfin.ru/" TargetMode="External"/><Relationship Id="rId19" Type="http://schemas.openxmlformats.org/officeDocument/2006/relationships/hyperlink" Target="http://economy.gov.ru/" TargetMode="External"/><Relationship Id="rId20" Type="http://schemas.openxmlformats.org/officeDocument/2006/relationships/hyperlink" Target="http://datamarts.roskazna.ru/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Application>LibreOffice/4.3.2.2$Windows_x86 LibreOffice_project/edfb5295ba211bd31ad47d0bad0118690f76407d</Application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2017-09-10T17:00:00Z</dcterms:created>
  <dc:creator>Elena</dc:creator>
  <dc:language>ru-RU</dc:language>
  <dcterms:modified xsi:type="dcterms:W3CDTF">2017-12-11T21:40:10Z</dcterms:modified>
  <cp:revision>14</cp:revision>
</cp:coreProperties>
</file>