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2E" w:rsidRDefault="0077332E" w:rsidP="007733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  Расчетно-графическая работа № 4.  Расчёт пассивных четырёхполюсников</w:t>
      </w:r>
    </w:p>
    <w:p w:rsidR="0077332E" w:rsidRDefault="0077332E" w:rsidP="0077332E">
      <w:pPr>
        <w:ind w:firstLine="708"/>
        <w:rPr>
          <w:sz w:val="28"/>
          <w:szCs w:val="28"/>
        </w:rPr>
      </w:pP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пассивных Т- или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- образных четырехполюсников (рисунки 3.1-3.10) выполнить следующее: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пределить комплексные сопротивления заданного четырехполюсника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 Определить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параметры заданного четырехполюсника, используя: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режимы холостого хода и короткого замыкания;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законы Кирхгофа.</w:t>
      </w:r>
    </w:p>
    <w:p w:rsidR="0077332E" w:rsidRDefault="0077332E" w:rsidP="0077332E">
      <w:pPr>
        <w:rPr>
          <w:sz w:val="28"/>
          <w:szCs w:val="28"/>
        </w:rPr>
      </w:pPr>
      <w:r>
        <w:rPr>
          <w:sz w:val="28"/>
          <w:szCs w:val="28"/>
        </w:rPr>
        <w:t>Проверить выполнение условия</w:t>
      </w:r>
      <w:proofErr w:type="gramStart"/>
      <w:r>
        <w:rPr>
          <w:sz w:val="28"/>
          <w:szCs w:val="28"/>
        </w:rPr>
        <w:t xml:space="preserve"> ∆А</w:t>
      </w:r>
      <w:proofErr w:type="gramEnd"/>
      <w:r>
        <w:rPr>
          <w:sz w:val="28"/>
          <w:szCs w:val="28"/>
        </w:rPr>
        <w:t>=1.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пределить характеристические сопротивления заданного четырехполюсника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, используя: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параметры холостого хода и короткого замыкания;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А-параметры.</w:t>
      </w:r>
    </w:p>
    <w:p w:rsidR="0077332E" w:rsidRDefault="0077332E" w:rsidP="00773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3.4 Определить характеристическую постоянную передачи  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  <w:vertAlign w:val="subscript"/>
        </w:rPr>
        <w:t>С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характеристическое ослабление А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, фазовую постоянную В</w:t>
      </w:r>
      <w:r>
        <w:rPr>
          <w:sz w:val="28"/>
          <w:szCs w:val="28"/>
          <w:vertAlign w:val="subscript"/>
        </w:rPr>
        <w:t xml:space="preserve">С, </w:t>
      </w:r>
      <w:r>
        <w:rPr>
          <w:sz w:val="28"/>
          <w:szCs w:val="28"/>
        </w:rPr>
        <w:t>используя  А-параметры.</w:t>
      </w:r>
    </w:p>
    <w:p w:rsidR="00916211" w:rsidRDefault="00916211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68"/>
      </w:tblGrid>
      <w:tr w:rsidR="0077332E" w:rsidTr="0077332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 w:rsidP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68" w:type="dxa"/>
          </w:tcPr>
          <w:p w:rsidR="0077332E" w:rsidRDefault="0077332E" w:rsidP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77332E" w:rsidTr="0077332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 w:rsidP="0077332E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68" w:type="dxa"/>
          </w:tcPr>
          <w:p w:rsidR="0077332E" w:rsidRDefault="0077332E" w:rsidP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77332E" w:rsidTr="0077332E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 w:rsidP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68" w:type="dxa"/>
          </w:tcPr>
          <w:p w:rsidR="0077332E" w:rsidRDefault="0077332E" w:rsidP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</w:tr>
    </w:tbl>
    <w:p w:rsidR="0077332E" w:rsidRDefault="0077332E">
      <w:pPr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br w:type="textWrapping" w:clear="all"/>
      </w:r>
    </w:p>
    <w:p w:rsidR="0077332E" w:rsidRDefault="0077332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72"/>
      </w:tblGrid>
      <w:tr w:rsidR="0077332E" w:rsidTr="00C5680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L1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72" w:type="dxa"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</w:tr>
      <w:tr w:rsidR="0077332E" w:rsidTr="00C5680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L2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72" w:type="dxa"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7332E" w:rsidTr="00C5680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L3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772" w:type="dxa"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</w:tbl>
    <w:p w:rsidR="0077332E" w:rsidRDefault="0077332E">
      <w:pPr>
        <w:rPr>
          <w:lang w:val="en-US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</w:tblGrid>
      <w:tr w:rsidR="0077332E" w:rsidTr="007733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C1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843" w:type="dxa"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7332E" w:rsidTr="007733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C2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843" w:type="dxa"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7332E" w:rsidTr="007733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Default="0077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C3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843" w:type="dxa"/>
          </w:tcPr>
          <w:p w:rsidR="0077332E" w:rsidRDefault="00773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77332E" w:rsidRDefault="0077332E">
      <w:pPr>
        <w:rPr>
          <w:lang w:val="en-US"/>
        </w:rPr>
      </w:pPr>
    </w:p>
    <w:p w:rsidR="0077332E" w:rsidRPr="0077332E" w:rsidRDefault="0077332E" w:rsidP="007733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32E" w:rsidRDefault="0077332E">
      <w:pPr>
        <w:rPr>
          <w:lang w:val="en-US"/>
        </w:rPr>
      </w:pPr>
      <w:r>
        <w:rPr>
          <w:noProof/>
        </w:rPr>
        <w:drawing>
          <wp:inline distT="0" distB="0" distL="0" distR="0" wp14:anchorId="7E13F827" wp14:editId="5F23E1D5">
            <wp:extent cx="4676546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46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2E" w:rsidRDefault="0077332E">
      <w:pPr>
        <w:rPr>
          <w:lang w:val="en-US"/>
        </w:rPr>
      </w:pPr>
    </w:p>
    <w:p w:rsidR="0077332E" w:rsidRDefault="0077332E">
      <w:pPr>
        <w:rPr>
          <w:lang w:val="en-US"/>
        </w:rPr>
      </w:pPr>
    </w:p>
    <w:p w:rsidR="0077332E" w:rsidRDefault="0077332E" w:rsidP="0077332E">
      <w:pPr>
        <w:ind w:firstLine="708"/>
        <w:rPr>
          <w:sz w:val="28"/>
          <w:szCs w:val="28"/>
        </w:rPr>
      </w:pPr>
    </w:p>
    <w:p w:rsidR="0077332E" w:rsidRDefault="0077332E" w:rsidP="007733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 Методические указания к выполнению расчетно-графических работ № 3,4</w:t>
      </w:r>
    </w:p>
    <w:p w:rsidR="0077332E" w:rsidRDefault="0077332E" w:rsidP="0077332E">
      <w:pPr>
        <w:rPr>
          <w:sz w:val="28"/>
          <w:szCs w:val="28"/>
        </w:rPr>
      </w:pP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4.1 Расчёт линейных электрических цепей несинусоидального тока распадается на три этапа:</w:t>
      </w: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 xml:space="preserve">а) разложение </w:t>
      </w:r>
      <w:proofErr w:type="gramStart"/>
      <w:r>
        <w:rPr>
          <w:sz w:val="28"/>
          <w:szCs w:val="28"/>
        </w:rPr>
        <w:t>несинусоидальных</w:t>
      </w:r>
      <w:proofErr w:type="gramEnd"/>
      <w:r>
        <w:rPr>
          <w:sz w:val="28"/>
          <w:szCs w:val="28"/>
        </w:rPr>
        <w:t xml:space="preserve"> ЭДС на постоянную и синусоидальные составляющие  (в тригонометрический ряд Фурье) см. рисунки 2.1-2.10; </w:t>
      </w: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б) применение принципа наложения и расчет токов и напряжений в цепи для  каждой из составляющих в отдельности. При расчете цепи с постоянными составляющими ЭДС следует учитывать, что индуктивное сопротивление равно 0 и индуктивность в эквивалентной схеме заменяется короткозамкнутым участком, а  ёмкостное равно</w:t>
      </w:r>
      <w:r>
        <w:rPr>
          <w:position w:val="-4"/>
          <w:sz w:val="28"/>
          <w:szCs w:val="28"/>
        </w:rPr>
        <w:object w:dxaOrig="28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1.25pt" o:ole="">
            <v:imagedata r:id="rId6" o:title=""/>
          </v:shape>
          <o:OLEObject Type="Embed" ProgID="Equation.3" ShapeID="_x0000_i1025" DrawAspect="Content" ObjectID="_1573680256" r:id="rId7"/>
        </w:object>
      </w:r>
      <w:r>
        <w:rPr>
          <w:sz w:val="28"/>
          <w:szCs w:val="28"/>
        </w:rPr>
        <w:t xml:space="preserve">и ветвь с ёмкостью размыкается. При расчете цепи для каждой синусоидальной составляющей ЭДС можно пользоваться комплексным методом, но недопустимо сложение комплексных токов и напряжений различных синусоидальных составляющих. Необходимо учитывать, что индуктивное и емкостное сопротивления для различных частот неодинаковы, индуктивное сопротивление для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-й гармоники равно </w:t>
      </w:r>
      <w:r>
        <w:rPr>
          <w:position w:val="-16"/>
          <w:sz w:val="28"/>
          <w:szCs w:val="28"/>
        </w:rPr>
        <w:object w:dxaOrig="1995" w:dyaOrig="420">
          <v:shape id="_x0000_i1026" type="#_x0000_t75" style="width:99.75pt;height:21pt" o:ole="">
            <v:imagedata r:id="rId8" o:title=""/>
          </v:shape>
          <o:OLEObject Type="Embed" ProgID="Equation.3" ShapeID="_x0000_i1026" DrawAspect="Content" ObjectID="_1573680257" r:id="rId9"/>
        </w:object>
      </w:r>
      <w:r>
        <w:rPr>
          <w:sz w:val="28"/>
          <w:szCs w:val="28"/>
        </w:rPr>
        <w:t xml:space="preserve">, а емкостное сопротивление для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-й гармоники равно </w:t>
      </w:r>
      <w:r>
        <w:rPr>
          <w:position w:val="-28"/>
          <w:sz w:val="28"/>
          <w:szCs w:val="28"/>
        </w:rPr>
        <w:object w:dxaOrig="1995" w:dyaOrig="765">
          <v:shape id="_x0000_i1027" type="#_x0000_t75" style="width:99.75pt;height:38.25pt" o:ole="">
            <v:imagedata r:id="rId10" o:title=""/>
          </v:shape>
          <o:OLEObject Type="Embed" ProgID="Equation.3" ShapeID="_x0000_i1027" DrawAspect="Content" ObjectID="_1573680258" r:id="rId11"/>
        </w:object>
      </w:r>
      <w:r>
        <w:rPr>
          <w:sz w:val="28"/>
          <w:szCs w:val="28"/>
        </w:rPr>
        <w:t>;</w:t>
      </w: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в) совместное рассмотрение решений, полученных для каждой из составляющих. Причём суммируются только мгновенные значения составляющих токов и напряжений.</w:t>
      </w:r>
    </w:p>
    <w:p w:rsidR="0077332E" w:rsidRDefault="0077332E" w:rsidP="0077332E">
      <w:pPr>
        <w:ind w:right="-5" w:firstLine="708"/>
        <w:rPr>
          <w:sz w:val="28"/>
          <w:szCs w:val="28"/>
        </w:rPr>
      </w:pP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4.2 Расчёт пассивных четырёхполюсников</w:t>
      </w: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теории четырёхполюсников является установление соотношений между напряжениями </w:t>
      </w:r>
      <w:r>
        <w:rPr>
          <w:position w:val="-14"/>
          <w:sz w:val="28"/>
          <w:szCs w:val="28"/>
        </w:rPr>
        <w:object w:dxaOrig="735" w:dyaOrig="435">
          <v:shape id="_x0000_i1028" type="#_x0000_t75" style="width:36.75pt;height:21.75pt" o:ole="">
            <v:imagedata r:id="rId12" o:title=""/>
          </v:shape>
          <o:OLEObject Type="Embed" ProgID="Equation.3" ShapeID="_x0000_i1028" DrawAspect="Content" ObjectID="_1573680259" r:id="rId13"/>
        </w:object>
      </w:r>
      <w:r>
        <w:rPr>
          <w:sz w:val="28"/>
          <w:szCs w:val="28"/>
        </w:rPr>
        <w:t xml:space="preserve"> и токами </w:t>
      </w:r>
      <w:r>
        <w:rPr>
          <w:position w:val="-14"/>
          <w:sz w:val="28"/>
          <w:szCs w:val="28"/>
        </w:rPr>
        <w:object w:dxaOrig="495" w:dyaOrig="435">
          <v:shape id="_x0000_i1029" type="#_x0000_t75" style="width:24.75pt;height:21.75pt" o:ole="">
            <v:imagedata r:id="rId14" o:title=""/>
          </v:shape>
          <o:OLEObject Type="Embed" ProgID="Equation.3" ShapeID="_x0000_i1029" DrawAspect="Content" ObjectID="_1573680260" r:id="rId15"/>
        </w:object>
      </w:r>
      <w:r>
        <w:rPr>
          <w:sz w:val="28"/>
          <w:szCs w:val="28"/>
        </w:rPr>
        <w:t xml:space="preserve"> на входе и выходе четырёхполюсника. Уравнения, определяющие зависимость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735" w:dyaOrig="435">
          <v:shape id="_x0000_i1030" type="#_x0000_t75" style="width:36.75pt;height:21.75pt" o:ole="">
            <v:imagedata r:id="rId12" o:title=""/>
          </v:shape>
          <o:OLEObject Type="Embed" ProgID="Equation.3" ShapeID="_x0000_i1030" DrawAspect="Content" ObjectID="_1573680261" r:id="rId16"/>
        </w:object>
      </w:r>
      <w:r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object w:dxaOrig="495" w:dyaOrig="435">
          <v:shape id="_x0000_i1031" type="#_x0000_t75" style="width:24.75pt;height:21.75pt" o:ole="">
            <v:imagedata r:id="rId14" o:title=""/>
          </v:shape>
          <o:OLEObject Type="Embed" ProgID="Equation.3" ShapeID="_x0000_i1031" DrawAspect="Content" ObjectID="_1573680262" r:id="rId17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называются</w:t>
      </w:r>
      <w:proofErr w:type="gramEnd"/>
      <w:r>
        <w:rPr>
          <w:sz w:val="28"/>
          <w:szCs w:val="28"/>
        </w:rPr>
        <w:t xml:space="preserve"> уравнениями передачи четырёхполюсника. Существует шесть форм уравнений передачи: уравнения передачи в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, В-,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 параметрах.</w:t>
      </w:r>
    </w:p>
    <w:p w:rsidR="0077332E" w:rsidRDefault="0077332E" w:rsidP="0077332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Все формы уравнений передачи равноправны, выбор той или иной формы зависит от задачи, которая в данном случае решается.</w:t>
      </w:r>
    </w:p>
    <w:p w:rsidR="0077332E" w:rsidRDefault="0077332E" w:rsidP="0077332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Уравнение передачи в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параметрах имеет вид</w:t>
      </w:r>
    </w:p>
    <w:p w:rsidR="0077332E" w:rsidRDefault="0077332E" w:rsidP="0077332E">
      <w:pPr>
        <w:ind w:right="-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40"/>
          <w:sz w:val="28"/>
          <w:szCs w:val="28"/>
        </w:rPr>
        <w:object w:dxaOrig="2235" w:dyaOrig="945">
          <v:shape id="_x0000_i1032" type="#_x0000_t75" style="width:111.75pt;height:47.25pt" o:ole="">
            <v:imagedata r:id="rId18" o:title=""/>
          </v:shape>
          <o:OLEObject Type="Embed" ProgID="Equation.3" ShapeID="_x0000_i1032" DrawAspect="Content" ObjectID="_1573680263" r:id="rId19"/>
        </w:object>
      </w:r>
      <w:r>
        <w:rPr>
          <w:sz w:val="28"/>
          <w:szCs w:val="28"/>
        </w:rPr>
        <w:t>,</w:t>
      </w:r>
    </w:p>
    <w:p w:rsidR="0077332E" w:rsidRDefault="0077332E" w:rsidP="0077332E">
      <w:pPr>
        <w:ind w:right="-5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position w:val="-16"/>
          <w:sz w:val="28"/>
          <w:szCs w:val="28"/>
        </w:rPr>
        <w:object w:dxaOrig="465" w:dyaOrig="420">
          <v:shape id="_x0000_i1033" type="#_x0000_t75" style="width:23.25pt;height:21pt" o:ole="">
            <v:imagedata r:id="rId20" o:title=""/>
          </v:shape>
          <o:OLEObject Type="Embed" ProgID="Equation.3" ShapeID="_x0000_i1033" DrawAspect="Content" ObjectID="_1573680264" r:id="rId21"/>
        </w:object>
      </w:r>
      <w:r>
        <w:rPr>
          <w:sz w:val="28"/>
          <w:szCs w:val="28"/>
        </w:rPr>
        <w:t>,</w:t>
      </w:r>
      <w:r>
        <w:rPr>
          <w:position w:val="-16"/>
          <w:sz w:val="28"/>
          <w:szCs w:val="28"/>
        </w:rPr>
        <w:object w:dxaOrig="480" w:dyaOrig="420">
          <v:shape id="_x0000_i1034" type="#_x0000_t75" style="width:24pt;height:21pt" o:ole="">
            <v:imagedata r:id="rId22" o:title=""/>
          </v:shape>
          <o:OLEObject Type="Embed" ProgID="Equation.3" ShapeID="_x0000_i1034" DrawAspect="Content" ObjectID="_1573680265" r:id="rId23"/>
        </w:object>
      </w:r>
      <w:r>
        <w:rPr>
          <w:sz w:val="28"/>
          <w:szCs w:val="28"/>
        </w:rPr>
        <w:t>,</w:t>
      </w:r>
      <w:r>
        <w:rPr>
          <w:position w:val="-16"/>
          <w:sz w:val="28"/>
          <w:szCs w:val="28"/>
        </w:rPr>
        <w:object w:dxaOrig="480" w:dyaOrig="420">
          <v:shape id="_x0000_i1035" type="#_x0000_t75" style="width:24pt;height:21pt" o:ole="">
            <v:imagedata r:id="rId24" o:title=""/>
          </v:shape>
          <o:OLEObject Type="Embed" ProgID="Equation.3" ShapeID="_x0000_i1035" DrawAspect="Content" ObjectID="_1573680266" r:id="rId25"/>
        </w:object>
      </w:r>
      <w:r>
        <w:rPr>
          <w:sz w:val="28"/>
          <w:szCs w:val="28"/>
        </w:rPr>
        <w:t>,</w:t>
      </w:r>
      <w:r>
        <w:rPr>
          <w:position w:val="-16"/>
          <w:sz w:val="28"/>
          <w:szCs w:val="28"/>
        </w:rPr>
        <w:object w:dxaOrig="495" w:dyaOrig="420">
          <v:shape id="_x0000_i1036" type="#_x0000_t75" style="width:24.75pt;height:21pt" o:ole="">
            <v:imagedata r:id="rId26" o:title=""/>
          </v:shape>
          <o:OLEObject Type="Embed" ProgID="Equation.3" ShapeID="_x0000_i1036" DrawAspect="Content" ObjectID="_1573680267" r:id="rId27"/>
        </w:object>
      </w:r>
      <w:r>
        <w:rPr>
          <w:sz w:val="28"/>
          <w:szCs w:val="28"/>
        </w:rPr>
        <w:t xml:space="preserve">- называются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параметрами.</w:t>
      </w:r>
    </w:p>
    <w:p w:rsidR="0077332E" w:rsidRDefault="0077332E" w:rsidP="0077332E">
      <w:pPr>
        <w:pStyle w:val="3"/>
        <w:ind w:left="0" w:right="-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параметры могут быть определены путем решения уравнений, выражающих законы Кирхгофа или по значениям напряжений и токов в </w:t>
      </w:r>
      <w:r>
        <w:rPr>
          <w:sz w:val="28"/>
          <w:szCs w:val="28"/>
        </w:rPr>
        <w:lastRenderedPageBreak/>
        <w:t>режимах холостого тока и короткого замыкания. Для пассивного четырёхполюсника выполняется условие</w:t>
      </w:r>
      <w:proofErr w:type="gramStart"/>
      <w:r>
        <w:rPr>
          <w:sz w:val="28"/>
          <w:szCs w:val="28"/>
        </w:rPr>
        <w:t xml:space="preserve"> ∆А</w:t>
      </w:r>
      <w:proofErr w:type="gramEnd"/>
      <w:r>
        <w:rPr>
          <w:sz w:val="28"/>
          <w:szCs w:val="28"/>
        </w:rPr>
        <w:t>=</w:t>
      </w:r>
      <w:r>
        <w:rPr>
          <w:position w:val="-36"/>
          <w:sz w:val="28"/>
          <w:szCs w:val="28"/>
        </w:rPr>
        <w:object w:dxaOrig="525" w:dyaOrig="855">
          <v:shape id="_x0000_i1037" type="#_x0000_t75" style="width:26.25pt;height:42.75pt" o:ole="">
            <v:imagedata r:id="rId28" o:title=""/>
          </v:shape>
          <o:OLEObject Type="Embed" ProgID="Equation.3" ShapeID="_x0000_i1037" DrawAspect="Content" ObjectID="_1573680268" r:id="rId29"/>
        </w:object>
      </w:r>
      <w:r>
        <w:rPr>
          <w:position w:val="-36"/>
          <w:sz w:val="28"/>
          <w:szCs w:val="28"/>
        </w:rPr>
        <w:object w:dxaOrig="525" w:dyaOrig="855">
          <v:shape id="_x0000_i1038" type="#_x0000_t75" style="width:26.25pt;height:42.75pt" o:ole="">
            <v:imagedata r:id="rId30" o:title=""/>
          </v:shape>
          <o:OLEObject Type="Embed" ProgID="Equation.3" ShapeID="_x0000_i1038" DrawAspect="Content" ObjectID="_1573680269" r:id="rId31"/>
        </w:object>
      </w:r>
      <w:r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object w:dxaOrig="2145" w:dyaOrig="375">
          <v:shape id="_x0000_i1039" type="#_x0000_t75" style="width:107.25pt;height:18.75pt" o:ole="">
            <v:imagedata r:id="rId32" o:title=""/>
          </v:shape>
          <o:OLEObject Type="Embed" ProgID="Equation.3" ShapeID="_x0000_i1039" DrawAspect="Content" ObjectID="_1573680270" r:id="rId33"/>
        </w:object>
      </w:r>
      <w:r>
        <w:rPr>
          <w:sz w:val="28"/>
          <w:szCs w:val="28"/>
        </w:rPr>
        <w:t>1.</w:t>
      </w:r>
    </w:p>
    <w:p w:rsidR="0077332E" w:rsidRDefault="0077332E" w:rsidP="0077332E">
      <w:pPr>
        <w:pStyle w:val="3"/>
        <w:ind w:left="0" w:right="-5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Характеристические сопротивления четырёхполюсника </w:t>
      </w:r>
      <w:r>
        <w:rPr>
          <w:position w:val="-12"/>
          <w:sz w:val="28"/>
          <w:szCs w:val="28"/>
        </w:rPr>
        <w:object w:dxaOrig="960" w:dyaOrig="375">
          <v:shape id="_x0000_i1040" type="#_x0000_t75" style="width:48pt;height:18.75pt" o:ole="">
            <v:imagedata r:id="rId34" o:title=""/>
          </v:shape>
          <o:OLEObject Type="Embed" ProgID="Equation.3" ShapeID="_x0000_i1040" DrawAspect="Content" ObjectID="_1573680271" r:id="rId35"/>
        </w:object>
      </w:r>
    </w:p>
    <w:p w:rsidR="0077332E" w:rsidRDefault="0077332E" w:rsidP="0077332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можно выразить через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параметры </w:t>
      </w:r>
      <w:r>
        <w:rPr>
          <w:position w:val="-36"/>
          <w:sz w:val="28"/>
          <w:szCs w:val="28"/>
        </w:rPr>
        <w:object w:dxaOrig="1800" w:dyaOrig="855">
          <v:shape id="_x0000_i1041" type="#_x0000_t75" style="width:90pt;height:42.75pt" o:ole="">
            <v:imagedata r:id="rId36" o:title=""/>
          </v:shape>
          <o:OLEObject Type="Embed" ProgID="Equation.3" ShapeID="_x0000_i1041" DrawAspect="Content" ObjectID="_1573680272" r:id="rId37"/>
        </w:object>
      </w:r>
      <w:r>
        <w:rPr>
          <w:sz w:val="28"/>
          <w:szCs w:val="28"/>
        </w:rPr>
        <w:t xml:space="preserve">,  </w:t>
      </w:r>
      <w:r>
        <w:rPr>
          <w:position w:val="-36"/>
          <w:sz w:val="28"/>
          <w:szCs w:val="28"/>
        </w:rPr>
        <w:object w:dxaOrig="1815" w:dyaOrig="855">
          <v:shape id="_x0000_i1042" type="#_x0000_t75" style="width:90.75pt;height:42.75pt" o:ole="">
            <v:imagedata r:id="rId38" o:title=""/>
          </v:shape>
          <o:OLEObject Type="Embed" ProgID="Equation.3" ShapeID="_x0000_i1042" DrawAspect="Content" ObjectID="_1573680273" r:id="rId39"/>
        </w:object>
      </w:r>
    </w:p>
    <w:p w:rsidR="0077332E" w:rsidRDefault="0077332E" w:rsidP="0077332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и параметры холостого хода 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 короткого замыкания 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К1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К2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</w:t>
      </w:r>
    </w:p>
    <w:p w:rsidR="0077332E" w:rsidRDefault="0077332E" w:rsidP="0077332E">
      <w:pPr>
        <w:tabs>
          <w:tab w:val="left" w:pos="8640"/>
        </w:tabs>
        <w:ind w:right="-5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740" w:dyaOrig="465">
          <v:shape id="_x0000_i1043" type="#_x0000_t75" style="width:87pt;height:23.25pt" o:ole="">
            <v:imagedata r:id="rId40" o:title=""/>
          </v:shape>
          <o:OLEObject Type="Embed" ProgID="Equation.3" ShapeID="_x0000_i1043" DrawAspect="Content" ObjectID="_1573680274" r:id="rId41"/>
        </w:object>
      </w:r>
      <w:r>
        <w:rPr>
          <w:sz w:val="28"/>
          <w:szCs w:val="28"/>
        </w:rPr>
        <w:t xml:space="preserve">,   </w:t>
      </w:r>
      <w:r>
        <w:rPr>
          <w:position w:val="-14"/>
          <w:sz w:val="28"/>
          <w:szCs w:val="28"/>
        </w:rPr>
        <w:object w:dxaOrig="1845" w:dyaOrig="465">
          <v:shape id="_x0000_i1044" type="#_x0000_t75" style="width:92.25pt;height:23.25pt" o:ole="">
            <v:imagedata r:id="rId42" o:title=""/>
          </v:shape>
          <o:OLEObject Type="Embed" ProgID="Equation.3" ShapeID="_x0000_i1044" DrawAspect="Content" ObjectID="_1573680275" r:id="rId4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7332E" w:rsidRDefault="0077332E" w:rsidP="0077332E">
      <w:pPr>
        <w:pStyle w:val="3"/>
        <w:ind w:left="0" w:right="-5"/>
        <w:rPr>
          <w:sz w:val="28"/>
          <w:szCs w:val="28"/>
        </w:rPr>
      </w:pPr>
      <w:r>
        <w:rPr>
          <w:sz w:val="28"/>
          <w:szCs w:val="28"/>
        </w:rPr>
        <w:tab/>
        <w:t>Параметрами холостого хода и короткого замыкания называются входные сопротивления четырёхполюсника со стороны первичных выводов 1-1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и вторичных выводов 2-2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.</w:t>
      </w:r>
    </w:p>
    <w:p w:rsidR="0077332E" w:rsidRDefault="0077332E" w:rsidP="0077332E">
      <w:pPr>
        <w:tabs>
          <w:tab w:val="left" w:pos="709"/>
          <w:tab w:val="left" w:pos="8640"/>
        </w:tabs>
        <w:ind w:right="-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Характеристическая</w:t>
      </w:r>
      <w:proofErr w:type="gramEnd"/>
      <w:r>
        <w:rPr>
          <w:sz w:val="28"/>
          <w:szCs w:val="28"/>
        </w:rPr>
        <w:t xml:space="preserve"> постоянная передачи четырёхполюсника определяется в режиме согласованного включения и равна:</w:t>
      </w:r>
    </w:p>
    <w:p w:rsidR="0077332E" w:rsidRDefault="0077332E" w:rsidP="0077332E">
      <w:pPr>
        <w:tabs>
          <w:tab w:val="left" w:pos="709"/>
          <w:tab w:val="left" w:pos="8640"/>
        </w:tabs>
        <w:ind w:right="-5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725" w:dyaOrig="825">
          <v:shape id="_x0000_i1045" type="#_x0000_t75" style="width:86.25pt;height:41.25pt" o:ole="">
            <v:imagedata r:id="rId44" o:title=""/>
          </v:shape>
          <o:OLEObject Type="Embed" ProgID="Equation.3" ShapeID="_x0000_i1045" DrawAspect="Content" ObjectID="_1573680276" r:id="rId45"/>
        </w:object>
      </w:r>
      <w:r>
        <w:rPr>
          <w:sz w:val="28"/>
          <w:szCs w:val="28"/>
        </w:rPr>
        <w:t>.</w:t>
      </w:r>
    </w:p>
    <w:p w:rsidR="0077332E" w:rsidRDefault="0077332E" w:rsidP="0077332E">
      <w:pPr>
        <w:tabs>
          <w:tab w:val="left" w:pos="709"/>
          <w:tab w:val="left" w:pos="8640"/>
        </w:tabs>
        <w:ind w:right="-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Характеристическую</w:t>
      </w:r>
      <w:proofErr w:type="gramEnd"/>
      <w:r>
        <w:rPr>
          <w:sz w:val="28"/>
          <w:szCs w:val="28"/>
        </w:rPr>
        <w:t xml:space="preserve"> постоянную передачи можно определить через</w:t>
      </w:r>
    </w:p>
    <w:p w:rsidR="0077332E" w:rsidRPr="0077332E" w:rsidRDefault="0077332E" w:rsidP="0077332E">
      <w:pPr>
        <w:rPr>
          <w:lang w:val="en-US"/>
        </w:rPr>
      </w:pPr>
      <w:r>
        <w:rPr>
          <w:sz w:val="28"/>
          <w:szCs w:val="28"/>
        </w:rPr>
        <w:t xml:space="preserve"> А-параметры </w:t>
      </w:r>
      <w:r>
        <w:rPr>
          <w:position w:val="-14"/>
          <w:sz w:val="28"/>
          <w:szCs w:val="28"/>
        </w:rPr>
        <w:object w:dxaOrig="3375" w:dyaOrig="465">
          <v:shape id="_x0000_i1046" type="#_x0000_t75" style="width:168.75pt;height:23.25pt" o:ole="">
            <v:imagedata r:id="rId46" o:title=""/>
          </v:shape>
          <o:OLEObject Type="Embed" ProgID="Equation.3" ShapeID="_x0000_i1046" DrawAspect="Content" ObjectID="_1573680277" r:id="rId47"/>
        </w:object>
      </w:r>
      <w:r>
        <w:rPr>
          <w:sz w:val="28"/>
          <w:szCs w:val="28"/>
        </w:rPr>
        <w:t>.</w:t>
      </w:r>
      <w:bookmarkStart w:id="0" w:name="_GoBack"/>
      <w:bookmarkEnd w:id="0"/>
    </w:p>
    <w:sectPr w:rsidR="0077332E" w:rsidRPr="0077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2E"/>
    <w:rsid w:val="0077332E"/>
    <w:rsid w:val="009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2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7733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733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2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7733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733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2017-12-01T18:29:00Z</dcterms:created>
  <dcterms:modified xsi:type="dcterms:W3CDTF">2017-12-01T18:38:00Z</dcterms:modified>
</cp:coreProperties>
</file>