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69" w:rsidRPr="00CA4D69" w:rsidRDefault="00CA4D69" w:rsidP="00CA4D69">
      <w:pPr>
        <w:spacing w:after="210" w:line="360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</w:pPr>
      <w:r w:rsidRPr="00CA4D69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  <w:t>THE IRISH HIGHER EDUCATION SYSTEM... SIMPLIFIED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With a rich, distinct culture and lively student scene, </w:t>
      </w:r>
      <w:hyperlink r:id="rId4" w:history="1">
        <w:r w:rsidRPr="00CA4D69">
          <w:rPr>
            <w:rFonts w:ascii="Arial" w:eastAsia="Times New Roman" w:hAnsi="Arial" w:cs="Arial"/>
            <w:color w:val="3087A4"/>
            <w:sz w:val="21"/>
            <w:szCs w:val="21"/>
            <w:bdr w:val="none" w:sz="0" w:space="0" w:color="auto" w:frame="1"/>
            <w:lang w:val="en-US" w:eastAsia="ru-RU"/>
          </w:rPr>
          <w:t>Ireland</w:t>
        </w:r>
      </w:hyperlink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 has a long history of welcoming </w:t>
      </w:r>
      <w:bookmarkStart w:id="0" w:name="_GoBack"/>
      <w:bookmarkEnd w:id="0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international students. Between the nation’s growing economy and advancing education system,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it’s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not hard to see why. All seven of Ireland’s public universities rank within the world’s top 700, and tuition is free for local and EU students under the </w:t>
      </w:r>
      <w:hyperlink r:id="rId5" w:history="1">
        <w:r w:rsidRPr="00CA4D69">
          <w:rPr>
            <w:rFonts w:ascii="Arial" w:eastAsia="Times New Roman" w:hAnsi="Arial" w:cs="Arial"/>
            <w:color w:val="3087A4"/>
            <w:sz w:val="21"/>
            <w:szCs w:val="21"/>
            <w:bdr w:val="none" w:sz="0" w:space="0" w:color="auto" w:frame="1"/>
            <w:lang w:val="en-US" w:eastAsia="ru-RU"/>
          </w:rPr>
          <w:t>Free Fees Scheme</w:t>
        </w:r>
      </w:hyperlink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. Whilst the Irish higher education system is largely modelled on that of the British,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it’s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important you understand how it works before lodging a successful study abroad application. Let our breakdown of the Irish higher education system help.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 </w:t>
      </w:r>
    </w:p>
    <w:p w:rsidR="00CA4D69" w:rsidRPr="00CA4D69" w:rsidRDefault="00CA4D69" w:rsidP="00CA4D69">
      <w:pPr>
        <w:spacing w:after="210" w:line="360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</w:pPr>
      <w:r w:rsidRPr="00CA4D69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  <w:t>TYPES OF INSTITUTION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Where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you’ll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study abroad in Ireland depends on the specific subject area you’re interested in, and the qualification level you’re seeking.</w:t>
      </w:r>
    </w:p>
    <w:p w:rsidR="00CA4D69" w:rsidRPr="00CA4D69" w:rsidRDefault="00CA4D69" w:rsidP="00CA4D69">
      <w:pPr>
        <w:spacing w:after="150" w:line="450" w:lineRule="atLeast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proofErr w:type="spellStart"/>
      <w:r w:rsidRPr="00CA4D6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University</w:t>
      </w:r>
      <w:proofErr w:type="spellEnd"/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Irish universities are state-funded and generally operate autonomously. There are seven universities in Ireland, each offering a range of undergraduate and postgraduate degree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across a wide spectrum of general study areas.</w:t>
      </w:r>
    </w:p>
    <w:p w:rsidR="00CA4D69" w:rsidRPr="00CA4D69" w:rsidRDefault="00CA4D69" w:rsidP="00CA4D69">
      <w:pPr>
        <w:spacing w:after="150" w:line="450" w:lineRule="atLeast"/>
        <w:outlineLvl w:val="1"/>
        <w:rPr>
          <w:rFonts w:ascii="Arial" w:eastAsia="Times New Roman" w:hAnsi="Arial" w:cs="Arial"/>
          <w:b/>
          <w:bCs/>
          <w:sz w:val="27"/>
          <w:szCs w:val="27"/>
          <w:lang w:val="en-US" w:eastAsia="ru-RU"/>
        </w:rPr>
      </w:pPr>
      <w:r w:rsidRPr="00CA4D69">
        <w:rPr>
          <w:rFonts w:ascii="Arial" w:eastAsia="Times New Roman" w:hAnsi="Arial" w:cs="Arial"/>
          <w:b/>
          <w:bCs/>
          <w:sz w:val="27"/>
          <w:szCs w:val="27"/>
          <w:lang w:val="en-US" w:eastAsia="ru-RU"/>
        </w:rPr>
        <w:t>Institute of Technology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These institutions provide education and training study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in areas such as business, science, engineering, linguistics and music across certificate, diploma and degree levels. There are 14 institutes of technology in Ireland, each with a separate set of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, course and credit requirements that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should be pursued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directly with each institution.</w:t>
      </w:r>
    </w:p>
    <w:p w:rsidR="00CA4D69" w:rsidRPr="00CA4D69" w:rsidRDefault="00CA4D69" w:rsidP="00CA4D69">
      <w:pPr>
        <w:spacing w:after="150" w:line="450" w:lineRule="atLeast"/>
        <w:outlineLvl w:val="1"/>
        <w:rPr>
          <w:rFonts w:ascii="Arial" w:eastAsia="Times New Roman" w:hAnsi="Arial" w:cs="Arial"/>
          <w:b/>
          <w:bCs/>
          <w:sz w:val="27"/>
          <w:szCs w:val="27"/>
          <w:lang w:val="en-US" w:eastAsia="ru-RU"/>
        </w:rPr>
      </w:pPr>
      <w:r w:rsidRPr="00CA4D69">
        <w:rPr>
          <w:rFonts w:ascii="Arial" w:eastAsia="Times New Roman" w:hAnsi="Arial" w:cs="Arial"/>
          <w:b/>
          <w:bCs/>
          <w:sz w:val="27"/>
          <w:szCs w:val="27"/>
          <w:lang w:val="en-US" w:eastAsia="ru-RU"/>
        </w:rPr>
        <w:t>Colleges of Education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Colleges of Education solely provide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specialised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training to aspiring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school teachers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, via either a three year Bachelor of Education and an 18-month postgraduate diploma. Students wishing to teach at a post-primary level would typically complete a primary degree followed by a postgraduate diploma.</w:t>
      </w:r>
    </w:p>
    <w:p w:rsidR="00CA4D69" w:rsidRPr="00CA4D69" w:rsidRDefault="00CA4D69" w:rsidP="00CA4D69">
      <w:pPr>
        <w:spacing w:after="150" w:line="450" w:lineRule="atLeast"/>
        <w:outlineLvl w:val="1"/>
        <w:rPr>
          <w:rFonts w:ascii="Arial" w:eastAsia="Times New Roman" w:hAnsi="Arial" w:cs="Arial"/>
          <w:b/>
          <w:bCs/>
          <w:sz w:val="27"/>
          <w:szCs w:val="27"/>
          <w:lang w:val="en-US" w:eastAsia="ru-RU"/>
        </w:rPr>
      </w:pPr>
      <w:r w:rsidRPr="00CA4D69">
        <w:rPr>
          <w:rFonts w:ascii="Arial" w:eastAsia="Times New Roman" w:hAnsi="Arial" w:cs="Arial"/>
          <w:b/>
          <w:bCs/>
          <w:sz w:val="27"/>
          <w:szCs w:val="27"/>
          <w:lang w:val="en-US" w:eastAsia="ru-RU"/>
        </w:rPr>
        <w:t>Private College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Third-party private colleges offer education and training in specialist areas such as vocational training, art and design, medicine, business studies, rural development, theology, music and law. Qualifications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are offered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across vocational, certificate and degree levels, but differ considerably depending on the institution and study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. Students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are advised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to confirm the exact nature of qualifications offered directly with their host institution.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hyperlink r:id="rId6" w:history="1">
        <w:r w:rsidRPr="00CA4D69">
          <w:rPr>
            <w:rFonts w:ascii="Arial" w:eastAsia="Times New Roman" w:hAnsi="Arial" w:cs="Arial"/>
            <w:color w:val="3087A4"/>
            <w:sz w:val="21"/>
            <w:szCs w:val="21"/>
            <w:bdr w:val="none" w:sz="0" w:space="0" w:color="auto" w:frame="1"/>
            <w:lang w:val="en-US" w:eastAsia="ru-RU"/>
          </w:rPr>
          <w:t>Click here for a full list of Irish higher education institutions</w:t>
        </w:r>
      </w:hyperlink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 </w:t>
      </w:r>
    </w:p>
    <w:p w:rsidR="00CA4D69" w:rsidRPr="00CA4D69" w:rsidRDefault="00CA4D69" w:rsidP="00CA4D69">
      <w:pPr>
        <w:spacing w:after="210" w:line="360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</w:pPr>
      <w:r w:rsidRPr="00CA4D69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  <w:t>UNDERGRADUATE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lastRenderedPageBreak/>
        <w:t>A typical 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eastAsia="ru-RU"/>
        </w:rPr>
        <w:fldChar w:fldCharType="begin"/>
      </w: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instrText xml:space="preserve"> HYPERLINK "https://www.hotcoursesabroad.com/study/all-subjects-courses/undergraduate-degrees/programs.html" </w:instrText>
      </w:r>
      <w:r w:rsidRPr="00CA4D69">
        <w:rPr>
          <w:rFonts w:ascii="Arial" w:eastAsia="Times New Roman" w:hAnsi="Arial" w:cs="Arial"/>
          <w:color w:val="464646"/>
          <w:sz w:val="21"/>
          <w:szCs w:val="21"/>
          <w:lang w:eastAsia="ru-RU"/>
        </w:rPr>
        <w:fldChar w:fldCharType="separate"/>
      </w:r>
      <w:r w:rsidRPr="00CA4D69">
        <w:rPr>
          <w:rFonts w:ascii="Arial" w:eastAsia="Times New Roman" w:hAnsi="Arial" w:cs="Arial"/>
          <w:color w:val="3087A4"/>
          <w:sz w:val="21"/>
          <w:szCs w:val="21"/>
          <w:bdr w:val="none" w:sz="0" w:space="0" w:color="auto" w:frame="1"/>
          <w:lang w:val="en-US" w:eastAsia="ru-RU"/>
        </w:rPr>
        <w:t>Bachelors</w:t>
      </w:r>
      <w:proofErr w:type="spellEnd"/>
      <w:r w:rsidRPr="00CA4D69">
        <w:rPr>
          <w:rFonts w:ascii="Arial" w:eastAsia="Times New Roman" w:hAnsi="Arial" w:cs="Arial"/>
          <w:color w:val="3087A4"/>
          <w:sz w:val="21"/>
          <w:szCs w:val="21"/>
          <w:bdr w:val="none" w:sz="0" w:space="0" w:color="auto" w:frame="1"/>
          <w:lang w:val="en-US" w:eastAsia="ru-RU"/>
        </w:rPr>
        <w:t xml:space="preserve"> Degree</w:t>
      </w:r>
      <w:r w:rsidRPr="00CA4D69">
        <w:rPr>
          <w:rFonts w:ascii="Arial" w:eastAsia="Times New Roman" w:hAnsi="Arial" w:cs="Arial"/>
          <w:color w:val="464646"/>
          <w:sz w:val="21"/>
          <w:szCs w:val="21"/>
          <w:lang w:eastAsia="ru-RU"/>
        </w:rPr>
        <w:fldChar w:fldCharType="end"/>
      </w: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 in a general field of study is around three-four years long for a full time student. Undergraduate studies in fields such as </w:t>
      </w:r>
      <w:hyperlink r:id="rId7" w:anchor="search&amp;countryId=154" w:history="1">
        <w:r w:rsidRPr="00CA4D69">
          <w:rPr>
            <w:rFonts w:ascii="Arial" w:eastAsia="Times New Roman" w:hAnsi="Arial" w:cs="Arial"/>
            <w:color w:val="3087A4"/>
            <w:sz w:val="21"/>
            <w:szCs w:val="21"/>
            <w:bdr w:val="none" w:sz="0" w:space="0" w:color="auto" w:frame="1"/>
            <w:lang w:val="en-US" w:eastAsia="ru-RU"/>
          </w:rPr>
          <w:t>Architecture</w:t>
        </w:r>
      </w:hyperlink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, </w:t>
      </w:r>
      <w:hyperlink r:id="rId8" w:history="1">
        <w:r w:rsidRPr="00CA4D69">
          <w:rPr>
            <w:rFonts w:ascii="Arial" w:eastAsia="Times New Roman" w:hAnsi="Arial" w:cs="Arial"/>
            <w:color w:val="3087A4"/>
            <w:sz w:val="21"/>
            <w:szCs w:val="21"/>
            <w:bdr w:val="none" w:sz="0" w:space="0" w:color="auto" w:frame="1"/>
            <w:lang w:val="en-US" w:eastAsia="ru-RU"/>
          </w:rPr>
          <w:t>Veterinary Science</w:t>
        </w:r>
      </w:hyperlink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 and </w:t>
      </w:r>
      <w:hyperlink r:id="rId9" w:history="1">
        <w:r w:rsidRPr="00CA4D69">
          <w:rPr>
            <w:rFonts w:ascii="Arial" w:eastAsia="Times New Roman" w:hAnsi="Arial" w:cs="Arial"/>
            <w:color w:val="3087A4"/>
            <w:sz w:val="21"/>
            <w:szCs w:val="21"/>
            <w:bdr w:val="none" w:sz="0" w:space="0" w:color="auto" w:frame="1"/>
            <w:lang w:val="en-US" w:eastAsia="ru-RU"/>
          </w:rPr>
          <w:t>Dentistry</w:t>
        </w:r>
      </w:hyperlink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 are about five years in duration. Students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may be awarded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a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Bachelors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Degree as a General Degree,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Honours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Degree or BA (Special Degree), depending on the specific nature of their study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.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Degree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on offer are unique to each institution, each with separate credit and subject requirements.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are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categorised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via departments based on the general field of study they are in, and again depending on the area within that field they focus upon. For example, </w:t>
      </w:r>
      <w:hyperlink r:id="rId10" w:history="1">
        <w:r w:rsidRPr="00CA4D69">
          <w:rPr>
            <w:rFonts w:ascii="Arial" w:eastAsia="Times New Roman" w:hAnsi="Arial" w:cs="Arial"/>
            <w:color w:val="3087A4"/>
            <w:sz w:val="21"/>
            <w:szCs w:val="21"/>
            <w:bdr w:val="none" w:sz="0" w:space="0" w:color="auto" w:frame="1"/>
            <w:lang w:val="en-US" w:eastAsia="ru-RU"/>
          </w:rPr>
          <w:t>Trinity College Dublin</w:t>
        </w:r>
      </w:hyperlink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 offers students the chance to complete a Bachelor of Arts (BA) in Film Studies. Students in this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also have the option to complete a secondary tract of study in another arts area such as English Literature or Drama.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Some universities also offer students the chance to complete their undergraduate studies as an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Honours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degree. This typically means that they will complete a larger amount of credits across the same duration as a standard undergraduate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, thus increasing the difficulty of their overall studies. Upon completion of their studies, ‘(Hons)’ is added to the student’s degree title. For example, a student completing an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Honours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might graduate with the title Bachelor of Science (BS) in Anatomy (Hons).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 </w:t>
      </w:r>
    </w:p>
    <w:p w:rsidR="00CA4D69" w:rsidRPr="00CA4D69" w:rsidRDefault="00CA4D69" w:rsidP="00CA4D69">
      <w:pPr>
        <w:spacing w:after="210" w:line="360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</w:pPr>
      <w:r w:rsidRPr="00CA4D69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  <w:t>POSTGRADUATE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hyperlink r:id="rId11" w:history="1">
        <w:r w:rsidRPr="00CA4D69">
          <w:rPr>
            <w:rFonts w:ascii="Arial" w:eastAsia="Times New Roman" w:hAnsi="Arial" w:cs="Arial"/>
            <w:color w:val="3087A4"/>
            <w:sz w:val="21"/>
            <w:szCs w:val="21"/>
            <w:bdr w:val="none" w:sz="0" w:space="0" w:color="auto" w:frame="1"/>
            <w:lang w:val="en-US" w:eastAsia="ru-RU"/>
          </w:rPr>
          <w:t>Postgraduate qualifications</w:t>
        </w:r>
      </w:hyperlink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 awarded in Ireland are either a Postgraduate Diploma, Masters Diploma or </w:t>
      </w:r>
      <w:hyperlink r:id="rId12" w:history="1">
        <w:r w:rsidRPr="00CA4D69">
          <w:rPr>
            <w:rFonts w:ascii="Arial" w:eastAsia="Times New Roman" w:hAnsi="Arial" w:cs="Arial"/>
            <w:color w:val="3087A4"/>
            <w:sz w:val="21"/>
            <w:szCs w:val="21"/>
            <w:bdr w:val="none" w:sz="0" w:space="0" w:color="auto" w:frame="1"/>
            <w:lang w:val="en-US" w:eastAsia="ru-RU"/>
          </w:rPr>
          <w:t>PhD</w:t>
        </w:r>
      </w:hyperlink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.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Programmes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can be taught or research-based. Study at a postgraduate level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is more focused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, and takes a more specialist approach to the area of study undertaken at an undergraduate level.  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Postgraduate Diplomas are often vocationally oriented, and directly linked to professions such as teaching or librarianship. In some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cases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these Diplomas may be used as a bridging qualification towards a </w:t>
      </w:r>
      <w:proofErr w:type="spell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Masters</w:t>
      </w:r>
      <w:proofErr w:type="spell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Degree in the same field.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Masters Degrees are typically one-two years in length and usually involve both taught coursework and a thesis component. PhD studies are usually three years in duration.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 </w:t>
      </w:r>
    </w:p>
    <w:p w:rsidR="00CA4D69" w:rsidRPr="00CA4D69" w:rsidRDefault="00CA4D69" w:rsidP="00CA4D69">
      <w:pPr>
        <w:spacing w:after="210" w:line="360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</w:pPr>
      <w:r w:rsidRPr="00CA4D69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val="en-US" w:eastAsia="ru-RU"/>
        </w:rPr>
        <w:t>ACADEMIC CULTURE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Irish academic culture largely echoes that of the UK: students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are expected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to work and maintain a sufficient academic standard independently. There is typically a larger focus on the modes of approach to a subject rather than upon factual data, and course content seeks to equip students with the tools to draw their own conclusions on what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is taught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. Formulation of this critical judgement is expected to be supplemented with readings and research completed independently, in addition to set course work.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Assessment varies between areas of study but generally focuses on fewer, longer-form tasks rather than smaller modes of continuous assessment. Examinations are common, and often held at the end of semester one (mid-year) and again at the end of semester two (finals). There is generally a passing grade of at least 40% for any piece of assessment.</w:t>
      </w:r>
    </w:p>
    <w:p w:rsidR="00CA4D69" w:rsidRPr="00CA4D69" w:rsidRDefault="00CA4D69" w:rsidP="00CA4D69">
      <w:pPr>
        <w:spacing w:after="0" w:line="330" w:lineRule="atLeast"/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</w:pP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Class discussions encourage students to voice their opinions critically and not shy away from asking questions that challenge </w:t>
      </w:r>
      <w:proofErr w:type="gramStart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>what</w:t>
      </w:r>
      <w:proofErr w:type="gramEnd"/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t xml:space="preserve"> their professor is saying, provided it’s substantiated. Professors </w:t>
      </w:r>
      <w:r w:rsidRPr="00CA4D69">
        <w:rPr>
          <w:rFonts w:ascii="Arial" w:eastAsia="Times New Roman" w:hAnsi="Arial" w:cs="Arial"/>
          <w:color w:val="464646"/>
          <w:sz w:val="21"/>
          <w:szCs w:val="21"/>
          <w:lang w:val="en-US" w:eastAsia="ru-RU"/>
        </w:rPr>
        <w:lastRenderedPageBreak/>
        <w:t>welcome students to offer new perspectives on a topic and will often have consultation hours where students can schedule appointments with them to discuss ideas or concepts covered in class.</w:t>
      </w:r>
    </w:p>
    <w:p w:rsidR="00160DC6" w:rsidRPr="00CA4D69" w:rsidRDefault="00160DC6">
      <w:pPr>
        <w:rPr>
          <w:lang w:val="en-US"/>
        </w:rPr>
      </w:pPr>
    </w:p>
    <w:sectPr w:rsidR="00160DC6" w:rsidRPr="00CA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69"/>
    <w:rsid w:val="00160DC6"/>
    <w:rsid w:val="00C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3F51D-9B04-45D4-820D-71E818A2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4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cntbld">
    <w:name w:val="art_cnt_bld"/>
    <w:basedOn w:val="a"/>
    <w:rsid w:val="00CA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4D69"/>
    <w:rPr>
      <w:color w:val="0000FF"/>
      <w:u w:val="single"/>
    </w:rPr>
  </w:style>
  <w:style w:type="character" w:customStyle="1" w:styleId="caps">
    <w:name w:val="caps"/>
    <w:basedOn w:val="a0"/>
    <w:rsid w:val="00CA4D69"/>
  </w:style>
  <w:style w:type="paragraph" w:styleId="a4">
    <w:name w:val="Normal (Web)"/>
    <w:basedOn w:val="a"/>
    <w:uiPriority w:val="99"/>
    <w:semiHidden/>
    <w:unhideWhenUsed/>
    <w:rsid w:val="00CA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841">
                  <w:marLeft w:val="0"/>
                  <w:marRight w:val="15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8880">
                  <w:marLeft w:val="0"/>
                  <w:marRight w:val="15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2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coursesabroad.com/study/training-degrees/ireland/veterinary-medicine-courses/loc/154/cgory/a3-3/sin/ct/program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tcoursesabroad.com/study/training-degrees/international/architecture-building-and-planning-courses/cgory/c-2/sin/ct/programs.html" TargetMode="External"/><Relationship Id="rId12" Type="http://schemas.openxmlformats.org/officeDocument/2006/relationships/hyperlink" Target="https://www.hotcoursesabroad.com/study/all-subjects-courses/phd-education-studies/program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tion.ie/en/Learners/Information/Providers-of-Higher-Education/List.html" TargetMode="External"/><Relationship Id="rId11" Type="http://schemas.openxmlformats.org/officeDocument/2006/relationships/hyperlink" Target="https://www.hotcoursesabroad.com/study/all-subjects-courses/postgraduate-degrees/programs.html" TargetMode="External"/><Relationship Id="rId5" Type="http://schemas.openxmlformats.org/officeDocument/2006/relationships/hyperlink" Target="https://www.hotcoursesabroad.com/study-in-ireland/student-finances/tuition-fees-in-ireland/" TargetMode="External"/><Relationship Id="rId10" Type="http://schemas.openxmlformats.org/officeDocument/2006/relationships/hyperlink" Target="https://www.hotcoursesabroad.com/study/ireland/school-college-university/trinity-college-dublin/309216/international.html" TargetMode="External"/><Relationship Id="rId4" Type="http://schemas.openxmlformats.org/officeDocument/2006/relationships/hyperlink" Target="https://www.hotcoursesabroad.com/ireland/" TargetMode="External"/><Relationship Id="rId9" Type="http://schemas.openxmlformats.org/officeDocument/2006/relationships/hyperlink" Target="https://www.hotcoursesabroad.com/study/training-degrees/ireland/dentistry-courses/loc/154/cgory/h2-3/sin/ct/program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serdyu.09@mail.ru</dc:creator>
  <cp:keywords/>
  <dc:description/>
  <cp:lastModifiedBy>serdyu.09@mail.ru</cp:lastModifiedBy>
  <cp:revision>1</cp:revision>
  <dcterms:created xsi:type="dcterms:W3CDTF">2017-11-27T21:00:00Z</dcterms:created>
  <dcterms:modified xsi:type="dcterms:W3CDTF">2017-11-27T21:02:00Z</dcterms:modified>
</cp:coreProperties>
</file>