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3F" w:rsidRDefault="00C738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статистик</w:t>
      </w:r>
      <w:r w:rsidRPr="00C7383F">
        <w:rPr>
          <w:rFonts w:ascii="Times New Roman" w:hAnsi="Times New Roman" w:cs="Times New Roman"/>
          <w:sz w:val="40"/>
          <w:szCs w:val="40"/>
        </w:rPr>
        <w:t>а</w:t>
      </w:r>
    </w:p>
    <w:p w:rsidR="00C7383F" w:rsidRPr="00EE19BF" w:rsidRDefault="00C7383F" w:rsidP="00C7383F">
      <w:pPr>
        <w:pStyle w:val="a3"/>
        <w:ind w:firstLine="567"/>
        <w:rPr>
          <w:b/>
          <w:color w:val="00B0F0"/>
          <w:sz w:val="28"/>
        </w:rPr>
      </w:pPr>
      <w:r w:rsidRPr="00EE19BF">
        <w:rPr>
          <w:b/>
          <w:color w:val="00B0F0"/>
          <w:sz w:val="28"/>
        </w:rPr>
        <w:t xml:space="preserve">Задача 2. </w:t>
      </w:r>
    </w:p>
    <w:p w:rsidR="00C7383F" w:rsidRPr="00EE19BF" w:rsidRDefault="00C7383F" w:rsidP="00C7383F">
      <w:pPr>
        <w:pStyle w:val="a3"/>
        <w:ind w:firstLine="567"/>
        <w:rPr>
          <w:b/>
          <w:color w:val="00B0F0"/>
          <w:sz w:val="28"/>
        </w:rPr>
      </w:pP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 xml:space="preserve">Для выборки, извлеченной из генеральной совокупности и представленной интервальным рядом (в первой строке указаны интервалы значений </w:t>
      </w:r>
      <w:r w:rsidRPr="00EE19BF">
        <w:rPr>
          <w:color w:val="00B0F0"/>
          <w:position w:val="-20"/>
          <w:sz w:val="28"/>
        </w:rPr>
        <w:object w:dxaOrig="9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1.75pt" o:ole="" fillcolor="window">
            <v:imagedata r:id="rId5" o:title=""/>
          </v:shape>
          <o:OLEObject Type="Embed" ProgID="Equation.3" ShapeID="_x0000_i1025" DrawAspect="Content" ObjectID="_1570038483" r:id="rId6"/>
        </w:object>
      </w:r>
      <w:r w:rsidRPr="00EE19BF">
        <w:rPr>
          <w:color w:val="00B0F0"/>
          <w:sz w:val="28"/>
        </w:rPr>
        <w:t xml:space="preserve"> исследуемого количественного признака </w:t>
      </w:r>
      <w:r w:rsidRPr="00EE19BF">
        <w:rPr>
          <w:color w:val="00B0F0"/>
          <w:position w:val="-4"/>
          <w:sz w:val="28"/>
        </w:rPr>
        <w:object w:dxaOrig="340" w:dyaOrig="300">
          <v:shape id="_x0000_i1026" type="#_x0000_t75" style="width:17.25pt;height:15pt" o:ole="" fillcolor="window">
            <v:imagedata r:id="rId7" o:title=""/>
          </v:shape>
          <o:OLEObject Type="Embed" ProgID="Equation.3" ShapeID="_x0000_i1026" DrawAspect="Content" ObjectID="_1570038484" r:id="rId8"/>
        </w:object>
      </w:r>
      <w:r w:rsidRPr="00EE19BF">
        <w:rPr>
          <w:color w:val="00B0F0"/>
          <w:sz w:val="28"/>
        </w:rPr>
        <w:t xml:space="preserve"> генеральной совокупности; во второй – частоты </w:t>
      </w:r>
      <w:r w:rsidRPr="00EE19BF">
        <w:rPr>
          <w:color w:val="00B0F0"/>
          <w:position w:val="-20"/>
          <w:sz w:val="28"/>
        </w:rPr>
        <w:object w:dxaOrig="360" w:dyaOrig="440">
          <v:shape id="_x0000_i1027" type="#_x0000_t75" style="width:18pt;height:21.75pt" o:ole="" fillcolor="window">
            <v:imagedata r:id="rId9" o:title=""/>
          </v:shape>
          <o:OLEObject Type="Embed" ProgID="Equation.3" ShapeID="_x0000_i1027" DrawAspect="Content" ObjectID="_1570038485" r:id="rId10"/>
        </w:object>
      </w:r>
      <w:r w:rsidRPr="00EE19BF">
        <w:rPr>
          <w:color w:val="00B0F0"/>
          <w:sz w:val="28"/>
        </w:rPr>
        <w:t xml:space="preserve">, т.е. количество элементов выборки, значения </w:t>
      </w:r>
      <w:r w:rsidRPr="00EE19BF">
        <w:rPr>
          <w:color w:val="00B0F0"/>
          <w:position w:val="-6"/>
          <w:sz w:val="28"/>
        </w:rPr>
        <w:object w:dxaOrig="240" w:dyaOrig="260">
          <v:shape id="_x0000_i1028" type="#_x0000_t75" style="width:12pt;height:12.75pt" o:ole="" fillcolor="window">
            <v:imagedata r:id="rId11" o:title=""/>
          </v:shape>
          <o:OLEObject Type="Embed" ProgID="Equation.3" ShapeID="_x0000_i1028" DrawAspect="Content" ObjectID="_1570038486" r:id="rId12"/>
        </w:object>
      </w:r>
      <w:r w:rsidRPr="00EE19BF">
        <w:rPr>
          <w:color w:val="00B0F0"/>
          <w:sz w:val="28"/>
        </w:rPr>
        <w:t xml:space="preserve"> признака которых принадлежат указанному интервалу). Требуется:</w:t>
      </w: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>1) Построить полигон относительных накопленных частот (кумулятивную кривую);</w:t>
      </w: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>2) Построить гистограмму частот и гистограмму относительных частот;</w:t>
      </w: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>3) Найти выборочную среднюю, выборочную дисперсию, моду и медиану;</w:t>
      </w: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 xml:space="preserve">4) Проверить на уровне значимости </w:t>
      </w:r>
      <w:r w:rsidRPr="00EE19BF">
        <w:rPr>
          <w:color w:val="00B0F0"/>
          <w:position w:val="-10"/>
          <w:sz w:val="28"/>
        </w:rPr>
        <w:object w:dxaOrig="1020" w:dyaOrig="340">
          <v:shape id="_x0000_i1029" type="#_x0000_t75" style="width:51pt;height:17.25pt" o:ole="" fillcolor="window">
            <v:imagedata r:id="rId13" o:title=""/>
          </v:shape>
          <o:OLEObject Type="Embed" ProgID="Equation.3" ShapeID="_x0000_i1029" DrawAspect="Content" ObjectID="_1570038487" r:id="rId14"/>
        </w:object>
      </w:r>
      <w:r w:rsidRPr="00EE19BF">
        <w:rPr>
          <w:color w:val="00B0F0"/>
          <w:sz w:val="28"/>
        </w:rPr>
        <w:t xml:space="preserve"> гипотезу о нормальном распределении признака </w:t>
      </w:r>
      <w:r w:rsidRPr="00EE19BF">
        <w:rPr>
          <w:color w:val="00B0F0"/>
          <w:position w:val="-4"/>
          <w:sz w:val="28"/>
        </w:rPr>
        <w:object w:dxaOrig="340" w:dyaOrig="300">
          <v:shape id="_x0000_i1030" type="#_x0000_t75" style="width:17.25pt;height:15pt" o:ole="" fillcolor="window">
            <v:imagedata r:id="rId7" o:title=""/>
          </v:shape>
          <o:OLEObject Type="Embed" ProgID="Equation.3" ShapeID="_x0000_i1030" DrawAspect="Content" ObjectID="_1570038488" r:id="rId15"/>
        </w:object>
      </w:r>
      <w:r w:rsidRPr="00EE19BF">
        <w:rPr>
          <w:color w:val="00B0F0"/>
          <w:sz w:val="28"/>
        </w:rPr>
        <w:t xml:space="preserve"> генеральной совокупности по критерию согласия Пирсона;</w:t>
      </w:r>
    </w:p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 xml:space="preserve">5) В случае согласованности с нормальным распределением найти с надежностью </w:t>
      </w:r>
      <w:r w:rsidRPr="00EE19BF">
        <w:rPr>
          <w:color w:val="00B0F0"/>
          <w:position w:val="-12"/>
          <w:sz w:val="28"/>
        </w:rPr>
        <w:object w:dxaOrig="980" w:dyaOrig="360">
          <v:shape id="_x0000_i1031" type="#_x0000_t75" style="width:48.75pt;height:18pt" o:ole="" fillcolor="window">
            <v:imagedata r:id="rId16" o:title=""/>
          </v:shape>
          <o:OLEObject Type="Embed" ProgID="Equation.3" ShapeID="_x0000_i1031" DrawAspect="Content" ObjectID="_1570038489" r:id="rId17"/>
        </w:object>
      </w:r>
      <w:r w:rsidRPr="00EE19BF">
        <w:rPr>
          <w:color w:val="00B0F0"/>
          <w:sz w:val="28"/>
        </w:rPr>
        <w:t xml:space="preserve"> доверительные интервалы для оценки математического ожидания и среднего </w:t>
      </w:r>
      <w:proofErr w:type="spellStart"/>
      <w:r w:rsidRPr="00EE19BF">
        <w:rPr>
          <w:color w:val="00B0F0"/>
          <w:sz w:val="28"/>
        </w:rPr>
        <w:t>квадратического</w:t>
      </w:r>
      <w:proofErr w:type="spellEnd"/>
      <w:r w:rsidRPr="00EE19BF">
        <w:rPr>
          <w:color w:val="00B0F0"/>
          <w:sz w:val="28"/>
        </w:rPr>
        <w:t xml:space="preserve"> отклонения признака </w:t>
      </w:r>
      <w:r w:rsidRPr="00EE19BF">
        <w:rPr>
          <w:color w:val="00B0F0"/>
          <w:position w:val="-4"/>
          <w:sz w:val="28"/>
        </w:rPr>
        <w:object w:dxaOrig="340" w:dyaOrig="300">
          <v:shape id="_x0000_i1032" type="#_x0000_t75" style="width:17.25pt;height:15pt" o:ole="" fillcolor="window">
            <v:imagedata r:id="rId7" o:title=""/>
          </v:shape>
          <o:OLEObject Type="Embed" ProgID="Equation.3" ShapeID="_x0000_i1032" DrawAspect="Content" ObjectID="_1570038490" r:id="rId18"/>
        </w:object>
      </w:r>
      <w:r w:rsidRPr="00EE19BF">
        <w:rPr>
          <w:color w:val="00B0F0"/>
          <w:sz w:val="28"/>
        </w:rPr>
        <w:t xml:space="preserve"> генеральной совокупности.</w:t>
      </w:r>
    </w:p>
    <w:p w:rsidR="00C7383F" w:rsidRPr="00EE19BF" w:rsidRDefault="00C7383F" w:rsidP="00C7383F">
      <w:pPr>
        <w:pStyle w:val="a3"/>
        <w:jc w:val="both"/>
        <w:rPr>
          <w:color w:val="00B0F0"/>
          <w:sz w:val="28"/>
        </w:rPr>
      </w:pPr>
      <w:r w:rsidRPr="00EE19BF">
        <w:rPr>
          <w:color w:val="00B0F0"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1181"/>
        <w:gridCol w:w="1181"/>
        <w:gridCol w:w="1181"/>
        <w:gridCol w:w="1182"/>
        <w:gridCol w:w="1181"/>
        <w:gridCol w:w="1181"/>
        <w:gridCol w:w="1182"/>
      </w:tblGrid>
      <w:tr w:rsidR="00C7383F" w:rsidRPr="00EE19BF" w:rsidTr="00991A28">
        <w:tc>
          <w:tcPr>
            <w:tcW w:w="1370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position w:val="-20"/>
                <w:sz w:val="28"/>
              </w:rPr>
              <w:object w:dxaOrig="999" w:dyaOrig="440">
                <v:shape id="_x0000_i1033" type="#_x0000_t75" style="width:50.25pt;height:21.75pt" o:ole="" fillcolor="window">
                  <v:imagedata r:id="rId5" o:title=""/>
                </v:shape>
                <o:OLEObject Type="Embed" ProgID="Equation.3" ShapeID="_x0000_i1033" DrawAspect="Content" ObjectID="_1570038491" r:id="rId19"/>
              </w:objec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6,5-7,0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7,0-7,5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7,5-8,0</w:t>
            </w:r>
          </w:p>
        </w:tc>
        <w:tc>
          <w:tcPr>
            <w:tcW w:w="118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8,0-8,5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8,5-9,0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9,0-9,5</w:t>
            </w:r>
          </w:p>
        </w:tc>
        <w:tc>
          <w:tcPr>
            <w:tcW w:w="118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9,5-10</w:t>
            </w:r>
          </w:p>
        </w:tc>
      </w:tr>
      <w:tr w:rsidR="00C7383F" w:rsidRPr="00EE19BF" w:rsidTr="00991A28">
        <w:tc>
          <w:tcPr>
            <w:tcW w:w="1370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position w:val="-20"/>
                <w:sz w:val="28"/>
              </w:rPr>
              <w:object w:dxaOrig="360" w:dyaOrig="440">
                <v:shape id="_x0000_i1034" type="#_x0000_t75" style="width:18pt;height:21.75pt" o:ole="" fillcolor="window">
                  <v:imagedata r:id="rId9" o:title=""/>
                </v:shape>
                <o:OLEObject Type="Embed" ProgID="Equation.3" ShapeID="_x0000_i1034" DrawAspect="Content" ObjectID="_1570038492" r:id="rId20"/>
              </w:objec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46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126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196</w:t>
            </w:r>
          </w:p>
        </w:tc>
        <w:tc>
          <w:tcPr>
            <w:tcW w:w="118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210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135</w:t>
            </w:r>
          </w:p>
        </w:tc>
        <w:tc>
          <w:tcPr>
            <w:tcW w:w="1181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55</w:t>
            </w:r>
          </w:p>
        </w:tc>
        <w:tc>
          <w:tcPr>
            <w:tcW w:w="118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</w:rPr>
            </w:pPr>
            <w:r w:rsidRPr="00EE19BF">
              <w:rPr>
                <w:color w:val="00B0F0"/>
                <w:sz w:val="28"/>
              </w:rPr>
              <w:t>18</w:t>
            </w:r>
          </w:p>
        </w:tc>
      </w:tr>
    </w:tbl>
    <w:p w:rsidR="00C7383F" w:rsidRPr="00EE19BF" w:rsidRDefault="00C7383F" w:rsidP="00C7383F">
      <w:pPr>
        <w:pStyle w:val="a3"/>
        <w:ind w:firstLine="567"/>
        <w:jc w:val="both"/>
        <w:rPr>
          <w:color w:val="00B0F0"/>
          <w:sz w:val="28"/>
        </w:rPr>
      </w:pP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b/>
          <w:bCs/>
          <w:color w:val="00B0F0"/>
          <w:sz w:val="21"/>
          <w:szCs w:val="21"/>
        </w:rPr>
        <w:t>Задача 4.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Исследуется зависимость коэффициента усвоения знаний, выраженного в процентах</w:t>
      </w: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 (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180975" cy="171450"/>
            <wp:effectExtent l="19050" t="0" r="9525" b="0"/>
            <wp:docPr id="513" name="Рисунок 33" descr="https://studfiles.net/html/2706/608/html_dPY0BJpiGz.XcAv/img-VkZL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s.net/html/2706/608/html_dPY0BJpiGz.XcAv/img-VkZLd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%) </w:t>
      </w:r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>от уровня посещаемости занятий (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171450" cy="171450"/>
            <wp:effectExtent l="19050" t="0" r="0" b="0"/>
            <wp:docPr id="512" name="Рисунок 34" descr="https://studfiles.net/html/2706/608/html_dPY0BJpiGz.XcAv/img-G22d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s.net/html/2706/608/html_dPY0BJpiGz.XcAv/img-G22dgh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%) в группе из четырнадцати учащихся (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133350" cy="171450"/>
            <wp:effectExtent l="19050" t="0" r="0" b="0"/>
            <wp:docPr id="511" name="Рисунок 35" descr="https://studfiles.net/html/2706/608/html_dPY0BJpiGz.XcAv/img-GnTE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s.net/html/2706/608/html_dPY0BJpiGz.XcAv/img-GnTEgH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- порядковый номер учащегося). Статистические данные приведены в таблице.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Требуется: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1) Найти оценки параметров линейной регрессии 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219075" cy="228600"/>
            <wp:effectExtent l="19050" t="0" r="9525" b="0"/>
            <wp:docPr id="510" name="Рисунок 36" descr="https://studfiles.net/html/2706/608/html_dPY0BJpiGz.XcAv/img-y4RK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s.net/html/2706/608/html_dPY0BJpiGz.XcAv/img-y4RKyv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на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200025" cy="228600"/>
            <wp:effectExtent l="19050" t="0" r="9525" b="0"/>
            <wp:docPr id="509" name="Рисунок 37" descr="https://studfiles.net/html/2706/608/html_dPY0BJpiGz.XcAv/img-3oYq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s.net/html/2706/608/html_dPY0BJpiGz.XcAv/img-3oYqRr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. Построить диаграмму рассеяния и нанести прямую регрессии на диаграмму рассеяния.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2) На уровне значимости 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590550" cy="171450"/>
            <wp:effectExtent l="19050" t="0" r="0" b="0"/>
            <wp:docPr id="508" name="Рисунок 38" descr="https://studfiles.net/html/2706/608/html_dPY0BJpiGz.XcAv/img-c4csG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s.net/html/2706/608/html_dPY0BJpiGz.XcAv/img-c4csGx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проверить гипотезу о согласии линейной регрессии с результатами наблюдений.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3) С надежностью 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581025" cy="171450"/>
            <wp:effectExtent l="19050" t="0" r="9525" b="0"/>
            <wp:docPr id="507" name="Рисунок 39" descr="https://studfiles.net/html/2706/608/html_dPY0BJpiGz.XcAv/img-cNEv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s.net/html/2706/608/html_dPY0BJpiGz.XcAv/img-cNEvyS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найти доверительные интервалы для параметров линейной регрессии.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643"/>
        <w:gridCol w:w="642"/>
        <w:gridCol w:w="643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43"/>
        <w:gridCol w:w="643"/>
      </w:tblGrid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position w:val="-6"/>
                <w:sz w:val="28"/>
              </w:rPr>
              <w:object w:dxaOrig="160" w:dyaOrig="279">
                <v:shape id="_x0000_i1035" type="#_x0000_t75" style="width:.75pt;height:14.25pt" o:ole="" fillcolor="window">
                  <v:imagedata r:id="rId28" o:title=""/>
                </v:shape>
                <o:OLEObject Type="Embed" ProgID="Equation.3" ShapeID="_x0000_i1035" DrawAspect="Content" ObjectID="_1570038493" r:id="rId29"/>
              </w:objec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2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5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6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7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8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9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10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11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12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13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14</w:t>
            </w:r>
          </w:p>
        </w:tc>
      </w:tr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position w:val="-12"/>
                <w:sz w:val="28"/>
              </w:rPr>
              <w:object w:dxaOrig="300" w:dyaOrig="380">
                <v:shape id="_x0000_i1036" type="#_x0000_t75" style="width:15pt;height:18.75pt" o:ole="" fillcolor="window">
                  <v:imagedata r:id="rId30" o:title=""/>
                </v:shape>
                <o:OLEObject Type="Embed" ProgID="Equation.3" ShapeID="_x0000_i1036" DrawAspect="Content" ObjectID="_1570038494" r:id="rId31"/>
              </w:objec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32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30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36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40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41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47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56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54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60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55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61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67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69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76</w:t>
            </w:r>
          </w:p>
        </w:tc>
      </w:tr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642" w:type="dxa"/>
          </w:tcPr>
          <w:p w:rsidR="00C7383F" w:rsidRPr="00EE19BF" w:rsidRDefault="00C7383F" w:rsidP="00991A28">
            <w:pPr>
              <w:pStyle w:val="3"/>
              <w:jc w:val="center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position w:val="-12"/>
                <w:sz w:val="28"/>
              </w:rPr>
              <w:object w:dxaOrig="320" w:dyaOrig="380">
                <v:shape id="_x0000_i1037" type="#_x0000_t75" style="width:15.75pt;height:18.75pt" o:ole="" fillcolor="window">
                  <v:imagedata r:id="rId32" o:title=""/>
                </v:shape>
                <o:OLEObject Type="Embed" ProgID="Equation.3" ShapeID="_x0000_i1037" DrawAspect="Content" ObjectID="_1570038495" r:id="rId33"/>
              </w:objec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20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24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28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30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31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33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34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37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38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40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41</w:t>
            </w:r>
          </w:p>
        </w:tc>
        <w:tc>
          <w:tcPr>
            <w:tcW w:w="642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43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45</w:t>
            </w:r>
          </w:p>
        </w:tc>
        <w:tc>
          <w:tcPr>
            <w:tcW w:w="643" w:type="dxa"/>
          </w:tcPr>
          <w:p w:rsidR="00C7383F" w:rsidRPr="00EE19BF" w:rsidRDefault="00C7383F" w:rsidP="00991A28">
            <w:pPr>
              <w:pStyle w:val="3"/>
              <w:ind w:left="0"/>
              <w:rPr>
                <w:b/>
                <w:color w:val="00B0F0"/>
                <w:sz w:val="28"/>
              </w:rPr>
            </w:pPr>
            <w:r w:rsidRPr="00EE19BF">
              <w:rPr>
                <w:b/>
                <w:color w:val="00B0F0"/>
                <w:sz w:val="28"/>
              </w:rPr>
              <w:t>48</w:t>
            </w:r>
          </w:p>
        </w:tc>
      </w:tr>
    </w:tbl>
    <w:p w:rsidR="00C7383F" w:rsidRPr="00EE19BF" w:rsidRDefault="00C7383F" w:rsidP="00C7383F">
      <w:pPr>
        <w:pStyle w:val="a3"/>
        <w:ind w:firstLine="567"/>
        <w:jc w:val="both"/>
        <w:rPr>
          <w:caps/>
          <w:color w:val="00B0F0"/>
          <w:sz w:val="28"/>
        </w:rPr>
      </w:pP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b/>
          <w:bCs/>
          <w:color w:val="00B0F0"/>
          <w:sz w:val="21"/>
          <w:szCs w:val="21"/>
        </w:rPr>
        <w:t>Задача 9.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Элементы корреляционного анализа.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По 14-ти предприятиям городского хозяйства (i-порядковый номер предприятия) имеются соответствующие данные об объеме продукции (услуг) за месяц (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у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млн</w:t>
      </w: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.р</w:t>
      </w:r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>уб.) и уровне механизации труда (</w:t>
      </w:r>
      <w:proofErr w:type="spellStart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х</w:t>
      </w:r>
      <w:proofErr w:type="spellEnd"/>
      <w:r w:rsidRPr="00EE19BF">
        <w:rPr>
          <w:rFonts w:ascii="Arial" w:eastAsia="Times New Roman" w:hAnsi="Arial" w:cs="Arial"/>
          <w:color w:val="00B0F0"/>
          <w:sz w:val="21"/>
          <w:szCs w:val="21"/>
        </w:rPr>
        <w:t>, %). Статистические данные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приведены</w:t>
      </w:r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 в таблице.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Для выявления наличия корреляционной связи между объемом продукции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и уровнем механизации труда требуется: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1) измерить тесноту связи между признаками с помощью коэффициента</w:t>
      </w:r>
    </w:p>
    <w:p w:rsidR="00C7383F" w:rsidRPr="00C7383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корреляции рангов </w:t>
      </w:r>
      <w:proofErr w:type="spell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Спирмена</w:t>
      </w:r>
      <w:proofErr w:type="spellEnd"/>
      <w:r w:rsidRPr="00EE19BF">
        <w:rPr>
          <w:rFonts w:ascii="Arial" w:eastAsia="Times New Roman" w:hAnsi="Arial" w:cs="Arial"/>
          <w:color w:val="00B0F0"/>
          <w:sz w:val="21"/>
          <w:szCs w:val="21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position w:val="-6"/>
                <w:sz w:val="28"/>
                <w:szCs w:val="28"/>
              </w:rPr>
              <w:object w:dxaOrig="160" w:dyaOrig="279">
                <v:shape id="_x0000_i1038" type="#_x0000_t75" style="width:8.25pt;height:14.25pt" o:ole="" fillcolor="window">
                  <v:imagedata r:id="rId28" o:title=""/>
                </v:shape>
                <o:OLEObject Type="Embed" ProgID="Equation.3" ShapeID="_x0000_i1038" DrawAspect="Content" ObjectID="_1570038496" r:id="rId34"/>
              </w:objec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8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13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14</w:t>
            </w:r>
          </w:p>
        </w:tc>
      </w:tr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position w:val="-12"/>
                <w:sz w:val="28"/>
                <w:szCs w:val="28"/>
              </w:rPr>
              <w:object w:dxaOrig="320" w:dyaOrig="380">
                <v:shape id="_x0000_i1039" type="#_x0000_t75" style="width:15.75pt;height:18.75pt" o:ole="" fillcolor="window">
                  <v:imagedata r:id="rId35" o:title=""/>
                </v:shape>
                <o:OLEObject Type="Embed" ProgID="Equation.3" ShapeID="_x0000_i1039" DrawAspect="Content" ObjectID="_1570038497" r:id="rId36"/>
              </w:objec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77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91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101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99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65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91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110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109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89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98</w:t>
            </w:r>
          </w:p>
        </w:tc>
      </w:tr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position w:val="-12"/>
                <w:sz w:val="28"/>
                <w:szCs w:val="28"/>
              </w:rPr>
              <w:object w:dxaOrig="300" w:dyaOrig="380">
                <v:shape id="_x0000_i1040" type="#_x0000_t75" style="width:15pt;height:18.75pt" o:ole="" fillcolor="window">
                  <v:imagedata r:id="rId37" o:title=""/>
                </v:shape>
                <o:OLEObject Type="Embed" ProgID="Equation.3" ShapeID="_x0000_i1040" DrawAspect="Content" ObjectID="_1570038498" r:id="rId38"/>
              </w:objec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64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93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64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99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96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70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85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100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98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95</w:t>
            </w:r>
          </w:p>
        </w:tc>
        <w:tc>
          <w:tcPr>
            <w:tcW w:w="648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99</w:t>
            </w:r>
          </w:p>
        </w:tc>
      </w:tr>
    </w:tbl>
    <w:p w:rsidR="00C7383F" w:rsidRPr="00EE19BF" w:rsidRDefault="00C7383F" w:rsidP="00C7383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B0F0"/>
          <w:sz w:val="21"/>
          <w:szCs w:val="21"/>
        </w:rPr>
      </w:pP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b/>
          <w:bCs/>
          <w:color w:val="00B0F0"/>
          <w:sz w:val="21"/>
          <w:szCs w:val="21"/>
        </w:rPr>
        <w:t>Задача 10.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Прогнозирование на основе сглаженного временного ряда</w:t>
      </w:r>
    </w:p>
    <w:p w:rsidR="00C7383F" w:rsidRPr="00EE19BF" w:rsidRDefault="00C7383F" w:rsidP="00C738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Динамика удельного расхода условного топлива на производство </w:t>
      </w:r>
      <w:proofErr w:type="spellStart"/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тепло-энергии</w:t>
      </w:r>
      <w:proofErr w:type="spellEnd"/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> 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(</w:t>
      </w:r>
      <w:proofErr w:type="spellStart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y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  <w:vertAlign w:val="subscript"/>
        </w:rPr>
        <w:t>t</w:t>
      </w:r>
      <w:proofErr w:type="spellEnd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,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кг/Гкал) на ТЭЦ по годам представлена в таблице. Требуется:</w:t>
      </w:r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произвести сглаживание ряда методом </w:t>
      </w: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трехлетней</w:t>
      </w:r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 скользящей средней;</w:t>
      </w:r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выровнять ряд по прямой - т.е. оценить параметры 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b</w:t>
      </w:r>
      <w:r w:rsidRPr="00EE19BF">
        <w:rPr>
          <w:rFonts w:ascii="Arial" w:eastAsia="Times New Roman" w:hAnsi="Arial" w:cs="Arial"/>
          <w:color w:val="00B0F0"/>
          <w:sz w:val="21"/>
          <w:szCs w:val="21"/>
          <w:vertAlign w:val="subscript"/>
        </w:rPr>
        <w:t>o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,b</w:t>
      </w:r>
      <w:r w:rsidRPr="00EE19BF">
        <w:rPr>
          <w:rFonts w:ascii="Arial" w:eastAsia="Times New Roman" w:hAnsi="Arial" w:cs="Arial"/>
          <w:color w:val="00B0F0"/>
          <w:sz w:val="21"/>
          <w:szCs w:val="21"/>
          <w:vertAlign w:val="subscript"/>
        </w:rPr>
        <w:t>1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линейного тренда </w:t>
      </w:r>
      <w:r w:rsidRPr="00EE19BF">
        <w:rPr>
          <w:rFonts w:ascii="Arial" w:eastAsia="Times New Roman" w:hAnsi="Arial" w:cs="Arial"/>
          <w:noProof/>
          <w:color w:val="00B0F0"/>
          <w:sz w:val="21"/>
          <w:szCs w:val="21"/>
        </w:rPr>
        <w:drawing>
          <wp:inline distT="0" distB="0" distL="0" distR="0">
            <wp:extent cx="219075" cy="200025"/>
            <wp:effectExtent l="19050" t="0" r="9525" b="0"/>
            <wp:docPr id="582" name="Рисунок 157" descr="https://studfiles.net/html/2706/608/html_dPY0BJpiGz.XcAv/img-S9pI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studfiles.net/html/2706/608/html_dPY0BJpiGz.XcAv/img-S9pIZD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= b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  <w:vertAlign w:val="subscript"/>
        </w:rPr>
        <w:t>0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 + b</w:t>
      </w:r>
      <w:r w:rsidRPr="00EE19BF">
        <w:rPr>
          <w:rFonts w:ascii="Arial" w:eastAsia="Times New Roman" w:hAnsi="Arial" w:cs="Arial"/>
          <w:color w:val="00B0F0"/>
          <w:sz w:val="21"/>
          <w:szCs w:val="21"/>
          <w:vertAlign w:val="subscript"/>
        </w:rPr>
        <w:t>1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t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методом наименьших квадратов;</w:t>
      </w:r>
      <w:proofErr w:type="gramEnd"/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начертить графики </w:t>
      </w: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первичного</w:t>
      </w:r>
      <w:proofErr w:type="gramEnd"/>
      <w:r w:rsidRPr="00EE19BF">
        <w:rPr>
          <w:rFonts w:ascii="Arial" w:eastAsia="Times New Roman" w:hAnsi="Arial" w:cs="Arial"/>
          <w:color w:val="00B0F0"/>
          <w:sz w:val="21"/>
          <w:szCs w:val="21"/>
        </w:rPr>
        <w:t xml:space="preserve"> и сглаженных рядов;</w:t>
      </w:r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на уровне значимости α = 0,05 проверить согласованность линейной трендовой модели с результатами наблюдений;</w:t>
      </w:r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proofErr w:type="gramStart"/>
      <w:r w:rsidRPr="00EE19BF">
        <w:rPr>
          <w:rFonts w:ascii="Arial" w:eastAsia="Times New Roman" w:hAnsi="Arial" w:cs="Arial"/>
          <w:color w:val="00B0F0"/>
          <w:sz w:val="21"/>
          <w:szCs w:val="21"/>
        </w:rPr>
        <w:t>методом экстраполяции найти точечные и интервальные (с доверитель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softHyphen/>
        <w:t xml:space="preserve"> ной </w:t>
      </w:r>
      <w:proofErr w:type="gramEnd"/>
    </w:p>
    <w:p w:rsidR="00C7383F" w:rsidRPr="00EE19BF" w:rsidRDefault="00C7383F" w:rsidP="00C738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1"/>
          <w:szCs w:val="21"/>
        </w:rPr>
      </w:pPr>
      <w:r w:rsidRPr="00EE19BF">
        <w:rPr>
          <w:rFonts w:ascii="Arial" w:eastAsia="Times New Roman" w:hAnsi="Arial" w:cs="Arial"/>
          <w:color w:val="00B0F0"/>
          <w:sz w:val="21"/>
          <w:szCs w:val="21"/>
        </w:rPr>
        <w:t>вероятностью </w:t>
      </w:r>
      <w:proofErr w:type="spellStart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γ</w:t>
      </w:r>
      <w:proofErr w:type="spellEnd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= 0,95) оценки прогноза экономического показателя </w:t>
      </w:r>
      <w:proofErr w:type="spellStart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y</w:t>
      </w:r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  <w:vertAlign w:val="subscript"/>
        </w:rPr>
        <w:t>t</w:t>
      </w:r>
      <w:proofErr w:type="spellEnd"/>
      <w:r w:rsidRPr="00EE19BF">
        <w:rPr>
          <w:rFonts w:ascii="Arial" w:eastAsia="Times New Roman" w:hAnsi="Arial" w:cs="Arial"/>
          <w:i/>
          <w:iCs/>
          <w:color w:val="00B0F0"/>
          <w:sz w:val="21"/>
          <w:szCs w:val="21"/>
        </w:rPr>
        <w:t> </w:t>
      </w:r>
      <w:r w:rsidRPr="00EE19BF">
        <w:rPr>
          <w:rFonts w:ascii="Arial" w:eastAsia="Times New Roman" w:hAnsi="Arial" w:cs="Arial"/>
          <w:color w:val="00B0F0"/>
          <w:sz w:val="21"/>
          <w:szCs w:val="21"/>
        </w:rPr>
        <w:t>на 2002 и 2003г.г.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position w:val="-6"/>
                <w:sz w:val="28"/>
                <w:szCs w:val="28"/>
              </w:rPr>
              <w:object w:dxaOrig="160" w:dyaOrig="260">
                <v:shape id="_x0000_i1041" type="#_x0000_t75" style="width:8.25pt;height:12.75pt" o:ole="" fillcolor="window">
                  <v:imagedata r:id="rId40" o:title=""/>
                </v:shape>
                <o:OLEObject Type="Embed" ProgID="Equation.3" ShapeID="_x0000_i1041" DrawAspect="Content" ObjectID="_1570038499" r:id="rId41"/>
              </w:objec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1993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1994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1995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1996</w:t>
            </w:r>
          </w:p>
        </w:tc>
        <w:tc>
          <w:tcPr>
            <w:tcW w:w="993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1997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1998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1999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2001</w:t>
            </w:r>
          </w:p>
        </w:tc>
      </w:tr>
      <w:tr w:rsidR="00C7383F" w:rsidRPr="00EE19BF" w:rsidTr="00991A2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position w:val="-12"/>
                <w:sz w:val="28"/>
                <w:szCs w:val="28"/>
              </w:rPr>
              <w:object w:dxaOrig="320" w:dyaOrig="380">
                <v:shape id="_x0000_i1042" type="#_x0000_t75" style="width:15.75pt;height:18.75pt" o:ole="" fillcolor="window">
                  <v:imagedata r:id="rId42" o:title=""/>
                </v:shape>
                <o:OLEObject Type="Embed" ProgID="Equation.3" ShapeID="_x0000_i1042" DrawAspect="Content" ObjectID="_1570038500" r:id="rId43"/>
              </w:objec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167,6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165,8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167,4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168,0</w:t>
            </w:r>
          </w:p>
        </w:tc>
        <w:tc>
          <w:tcPr>
            <w:tcW w:w="993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167,5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167,2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166,5</w:t>
            </w:r>
          </w:p>
        </w:tc>
        <w:tc>
          <w:tcPr>
            <w:tcW w:w="992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166,5</w:t>
            </w:r>
          </w:p>
        </w:tc>
        <w:tc>
          <w:tcPr>
            <w:tcW w:w="993" w:type="dxa"/>
          </w:tcPr>
          <w:p w:rsidR="00C7383F" w:rsidRPr="00EE19BF" w:rsidRDefault="00C7383F" w:rsidP="00991A28">
            <w:pPr>
              <w:pStyle w:val="a3"/>
              <w:jc w:val="center"/>
              <w:rPr>
                <w:color w:val="00B0F0"/>
                <w:sz w:val="28"/>
                <w:szCs w:val="28"/>
              </w:rPr>
            </w:pPr>
            <w:r w:rsidRPr="00EE19BF">
              <w:rPr>
                <w:color w:val="00B0F0"/>
                <w:sz w:val="28"/>
                <w:szCs w:val="28"/>
              </w:rPr>
              <w:t>166,4</w:t>
            </w:r>
          </w:p>
        </w:tc>
      </w:tr>
    </w:tbl>
    <w:p w:rsidR="00C7383F" w:rsidRPr="00EE19BF" w:rsidRDefault="00C7383F" w:rsidP="00C7383F">
      <w:pPr>
        <w:pStyle w:val="a3"/>
        <w:ind w:firstLine="567"/>
        <w:rPr>
          <w:color w:val="00B0F0"/>
          <w:sz w:val="28"/>
          <w:szCs w:val="28"/>
        </w:rPr>
      </w:pPr>
    </w:p>
    <w:p w:rsidR="007D7E48" w:rsidRPr="00C7383F" w:rsidRDefault="007D7E48" w:rsidP="00C7383F">
      <w:pPr>
        <w:rPr>
          <w:rFonts w:ascii="Times New Roman" w:hAnsi="Times New Roman" w:cs="Times New Roman"/>
          <w:sz w:val="40"/>
          <w:szCs w:val="40"/>
        </w:rPr>
      </w:pPr>
    </w:p>
    <w:sectPr w:rsidR="007D7E48" w:rsidRPr="00C7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9CC"/>
    <w:multiLevelType w:val="multilevel"/>
    <w:tmpl w:val="210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83F"/>
    <w:rsid w:val="007D7E48"/>
    <w:rsid w:val="00C7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83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C7383F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C738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383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7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2017-10-20T15:58:00Z</dcterms:created>
  <dcterms:modified xsi:type="dcterms:W3CDTF">2017-10-20T16:01:00Z</dcterms:modified>
</cp:coreProperties>
</file>