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3C" w:rsidRPr="00A142E7" w:rsidRDefault="00024FEB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>
        <w:rPr>
          <w:color w:val="FF0000"/>
        </w:rPr>
        <w:t>20</w:t>
      </w:r>
      <w:bookmarkStart w:id="0" w:name="_GoBack"/>
      <w:bookmarkEnd w:id="0"/>
      <w:r w:rsidR="00C15D3C" w:rsidRPr="00A142E7">
        <w:rPr>
          <w:color w:val="FF0000"/>
        </w:rPr>
        <w:t>.</w:t>
      </w:r>
      <w:r w:rsidR="00C15D3C" w:rsidRPr="00A142E7">
        <w:rPr>
          <w:rFonts w:ascii="Arial" w:hAnsi="Arial" w:cs="Arial"/>
          <w:color w:val="FF0000"/>
          <w:sz w:val="21"/>
          <w:szCs w:val="21"/>
        </w:rPr>
        <w:t xml:space="preserve"> Неформальные группы возникают: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4" o:title=""/>
          </v:shape>
          <w:control r:id="rId5" w:name="DefaultOcxName48" w:shapeid="_x0000_i1204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 результате реорганизации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203" type="#_x0000_t75" style="width:20.25pt;height:18pt" o:ole="">
            <v:imagedata r:id="rId4" o:title=""/>
          </v:shape>
          <w:control r:id="rId6" w:name="DefaultOcxName120" w:shapeid="_x0000_i1203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 воле руководства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202" type="#_x0000_t75" style="width:20.25pt;height:18pt" o:ole="">
            <v:imagedata r:id="rId4" o:title=""/>
          </v:shape>
          <w:control r:id="rId7" w:name="DefaultOcxName219" w:shapeid="_x0000_i1202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спонтанно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201" type="#_x0000_t75" style="width:20.25pt;height:18pt" o:ole="">
            <v:imagedata r:id="rId4" o:title=""/>
          </v:shape>
          <w:control r:id="rId8" w:name="DefaultOcxName319" w:shapeid="_x0000_i1201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при создании новой структуры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21.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Власть, построенная на силе личных качеств или способностей лидера, является: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200" type="#_x0000_t75" style="width:20.25pt;height:18pt" o:ole="">
            <v:imagedata r:id="rId4" o:title=""/>
          </v:shape>
          <w:control r:id="rId9" w:name="DefaultOcxName49" w:shapeid="_x0000_i1200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экспертной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9" type="#_x0000_t75" style="width:20.25pt;height:18pt" o:ole="">
            <v:imagedata r:id="rId4" o:title=""/>
          </v:shape>
          <w:control r:id="rId10" w:name="DefaultOcxName121" w:shapeid="_x0000_i1199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диктаторской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8" type="#_x0000_t75" style="width:20.25pt;height:18pt" o:ole="">
            <v:imagedata r:id="rId4" o:title=""/>
          </v:shape>
          <w:control r:id="rId11" w:name="DefaultOcxName220" w:shapeid="_x0000_i1198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харизматической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7" type="#_x0000_t75" style="width:20.25pt;height:18pt" o:ole="">
            <v:imagedata r:id="rId4" o:title=""/>
          </v:shape>
          <w:control r:id="rId12" w:name="DefaultOcxName320" w:shapeid="_x0000_i1197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принудительной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22.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Реальная власть - это власть: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6" type="#_x0000_t75" style="width:20.25pt;height:18pt" o:ole="">
            <v:imagedata r:id="rId4" o:title=""/>
          </v:shape>
          <w:control r:id="rId13" w:name="DefaultOcxName50" w:shapeid="_x0000_i1196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администрации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5" type="#_x0000_t75" style="width:20.25pt;height:18pt" o:ole="">
            <v:imagedata r:id="rId4" o:title=""/>
          </v:shape>
          <w:control r:id="rId14" w:name="DefaultOcxName122" w:shapeid="_x0000_i1195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должности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4" type="#_x0000_t75" style="width:20.25pt;height:18pt" o:ole="">
            <v:imagedata r:id="rId4" o:title=""/>
          </v:shape>
          <w:control r:id="rId15" w:name="DefaultOcxName221" w:shapeid="_x0000_i1194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авторитета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3" type="#_x0000_t75" style="width:20.25pt;height:18pt" o:ole="">
            <v:imagedata r:id="rId4" o:title=""/>
          </v:shape>
          <w:control r:id="rId16" w:name="DefaultOcxName321" w:shapeid="_x0000_i1193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подчиненных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23.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В основе авторитарного стиля управления лежат _______ методы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2" type="#_x0000_t75" style="width:20.25pt;height:18pt" o:ole="">
            <v:imagedata r:id="rId4" o:title=""/>
          </v:shape>
          <w:control r:id="rId17" w:name="DefaultOcxName51" w:shapeid="_x0000_i1192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консультативные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1" type="#_x0000_t75" style="width:20.25pt;height:18pt" o:ole="">
            <v:imagedata r:id="rId4" o:title=""/>
          </v:shape>
          <w:control r:id="rId18" w:name="DefaultOcxName123" w:shapeid="_x0000_i1191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организационно-распорядительные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90" type="#_x0000_t75" style="width:20.25pt;height:18pt" o:ole="">
            <v:imagedata r:id="rId4" o:title=""/>
          </v:shape>
          <w:control r:id="rId19" w:name="DefaultOcxName222" w:shapeid="_x0000_i1190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экономические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9" type="#_x0000_t75" style="width:20.25pt;height:18pt" o:ole="">
            <v:imagedata r:id="rId4" o:title=""/>
          </v:shape>
          <w:control r:id="rId20" w:name="DefaultOcxName322" w:shapeid="_x0000_i1189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социально-психологические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24.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Согласно </w:t>
      </w:r>
      <w:proofErr w:type="gramStart"/>
      <w:r w:rsidRPr="00A142E7">
        <w:rPr>
          <w:rFonts w:ascii="Arial" w:hAnsi="Arial" w:cs="Arial"/>
          <w:color w:val="FF0000"/>
          <w:sz w:val="21"/>
          <w:szCs w:val="21"/>
        </w:rPr>
        <w:t>теории Блейка-Мутона</w:t>
      </w:r>
      <w:proofErr w:type="gramEnd"/>
      <w:r w:rsidRPr="00A142E7">
        <w:rPr>
          <w:rFonts w:ascii="Arial" w:hAnsi="Arial" w:cs="Arial"/>
          <w:color w:val="FF0000"/>
          <w:sz w:val="21"/>
          <w:szCs w:val="21"/>
        </w:rPr>
        <w:t xml:space="preserve"> позиция «1-1» означает: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8" type="#_x0000_t75" style="width:20.25pt;height:18pt" o:ole="">
            <v:imagedata r:id="rId4" o:title=""/>
          </v:shape>
          <w:control r:id="rId21" w:name="DefaultOcxName52" w:shapeid="_x0000_i1188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слабое неэффективное лидерство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7" type="#_x0000_t75" style="width:20.25pt;height:18pt" o:ole="">
            <v:imagedata r:id="rId4" o:title=""/>
          </v:shape>
          <w:control r:id="rId22" w:name="DefaultOcxName124" w:shapeid="_x0000_i1187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ориентацию на цель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6" type="#_x0000_t75" style="width:20.25pt;height:18pt" o:ole="">
            <v:imagedata r:id="rId4" o:title=""/>
          </v:shape>
          <w:control r:id="rId23" w:name="DefaultOcxName223" w:shapeid="_x0000_i1186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ориентацию на коллектив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5" type="#_x0000_t75" style="width:20.25pt;height:18pt" o:ole="">
            <v:imagedata r:id="rId4" o:title=""/>
          </v:shape>
          <w:control r:id="rId24" w:name="DefaultOcxName323" w:shapeid="_x0000_i1185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ориентацию на организацию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25.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Согласно </w:t>
      </w:r>
      <w:proofErr w:type="gramStart"/>
      <w:r w:rsidRPr="00A142E7">
        <w:rPr>
          <w:rFonts w:ascii="Arial" w:hAnsi="Arial" w:cs="Arial"/>
          <w:color w:val="FF0000"/>
          <w:sz w:val="21"/>
          <w:szCs w:val="21"/>
        </w:rPr>
        <w:t>модели</w:t>
      </w:r>
      <w:proofErr w:type="gramEnd"/>
      <w:r w:rsidRPr="00A142E7">
        <w:rPr>
          <w:rFonts w:ascii="Arial" w:hAnsi="Arial" w:cs="Arial"/>
          <w:color w:val="FF0000"/>
          <w:sz w:val="21"/>
          <w:szCs w:val="21"/>
        </w:rPr>
        <w:t xml:space="preserve"> П. </w:t>
      </w:r>
      <w:proofErr w:type="spellStart"/>
      <w:r w:rsidRPr="00A142E7">
        <w:rPr>
          <w:rFonts w:ascii="Arial" w:hAnsi="Arial" w:cs="Arial"/>
          <w:color w:val="FF0000"/>
          <w:sz w:val="21"/>
          <w:szCs w:val="21"/>
        </w:rPr>
        <w:t>Херсея</w:t>
      </w:r>
      <w:proofErr w:type="spellEnd"/>
      <w:r w:rsidRPr="00A142E7">
        <w:rPr>
          <w:rFonts w:ascii="Arial" w:hAnsi="Arial" w:cs="Arial"/>
          <w:color w:val="FF0000"/>
          <w:sz w:val="21"/>
          <w:szCs w:val="21"/>
        </w:rPr>
        <w:t xml:space="preserve"> и </w:t>
      </w:r>
      <w:proofErr w:type="spellStart"/>
      <w:r w:rsidRPr="00A142E7">
        <w:rPr>
          <w:rFonts w:ascii="Arial" w:hAnsi="Arial" w:cs="Arial"/>
          <w:color w:val="FF0000"/>
          <w:sz w:val="21"/>
          <w:szCs w:val="21"/>
        </w:rPr>
        <w:t>К.Бланшарда</w:t>
      </w:r>
      <w:proofErr w:type="spellEnd"/>
      <w:r w:rsidRPr="00A142E7">
        <w:rPr>
          <w:rFonts w:ascii="Arial" w:hAnsi="Arial" w:cs="Arial"/>
          <w:color w:val="FF0000"/>
          <w:sz w:val="21"/>
          <w:szCs w:val="21"/>
        </w:rPr>
        <w:t xml:space="preserve"> стадия зрелости коллектива «Люди способны и хотят (могу и хочу)» предполагает ______ стиль лидерства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lastRenderedPageBreak/>
        <w:object w:dxaOrig="405" w:dyaOrig="360">
          <v:shape id="_x0000_i1184" type="#_x0000_t75" style="width:20.25pt;height:18pt" o:ole="">
            <v:imagedata r:id="rId4" o:title=""/>
          </v:shape>
          <w:control r:id="rId25" w:name="DefaultOcxName53" w:shapeid="_x0000_i1184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убеждающий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3" type="#_x0000_t75" style="width:20.25pt;height:18pt" o:ole="">
            <v:imagedata r:id="rId4" o:title=""/>
          </v:shape>
          <w:control r:id="rId26" w:name="DefaultOcxName125" w:shapeid="_x0000_i1183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участвующий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2" type="#_x0000_t75" style="width:20.25pt;height:18pt" o:ole="">
            <v:imagedata r:id="rId4" o:title=""/>
          </v:shape>
          <w:control r:id="rId27" w:name="DefaultOcxName224" w:shapeid="_x0000_i1182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указывающий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1" type="#_x0000_t75" style="width:20.25pt;height:18pt" o:ole="">
            <v:imagedata r:id="rId4" o:title=""/>
          </v:shape>
          <w:control r:id="rId28" w:name="DefaultOcxName324" w:shapeid="_x0000_i1181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делегирующий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26.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Согласно SMART-принципу </w:t>
      </w:r>
      <w:proofErr w:type="gramStart"/>
      <w:r w:rsidRPr="00A142E7">
        <w:rPr>
          <w:rFonts w:ascii="Arial" w:hAnsi="Arial" w:cs="Arial"/>
          <w:color w:val="FF0000"/>
          <w:sz w:val="21"/>
          <w:szCs w:val="21"/>
        </w:rPr>
        <w:t>цели</w:t>
      </w:r>
      <w:proofErr w:type="gramEnd"/>
      <w:r w:rsidRPr="00A142E7">
        <w:rPr>
          <w:rFonts w:ascii="Arial" w:hAnsi="Arial" w:cs="Arial"/>
          <w:color w:val="FF0000"/>
          <w:sz w:val="21"/>
          <w:szCs w:val="21"/>
        </w:rPr>
        <w:t xml:space="preserve"> должны быть: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80" type="#_x0000_t75" style="width:20.25pt;height:18pt" o:ole="">
            <v:imagedata r:id="rId4" o:title=""/>
          </v:shape>
          <w:control r:id="rId29" w:name="DefaultOcxName54" w:shapeid="_x0000_i1180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обоснованными, одобренными руководством, непротиворечивыми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9" type="#_x0000_t75" style="width:20.25pt;height:18pt" o:ole="">
            <v:imagedata r:id="rId4" o:title=""/>
          </v:shape>
          <w:control r:id="rId30" w:name="DefaultOcxName126" w:shapeid="_x0000_i1179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реалистичными, мотивирующими, определенными во времени, специфичными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8" type="#_x0000_t75" style="width:20.25pt;height:18pt" o:ole="">
            <v:imagedata r:id="rId4" o:title=""/>
          </v:shape>
          <w:control r:id="rId31" w:name="DefaultOcxName225" w:shapeid="_x0000_i1178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специфичными, измеримыми, согласованными, достижимыми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7" type="#_x0000_t75" style="width:20.25pt;height:18pt" o:ole="">
            <v:imagedata r:id="rId4" o:title=""/>
          </v:shape>
          <w:control r:id="rId32" w:name="DefaultOcxName325" w:shapeid="_x0000_i1177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определенными во времени, достижимыми, специфичными, соответствовать ситуации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27.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Эффективность менеджмента заключается в: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6" type="#_x0000_t75" style="width:20.25pt;height:18pt" o:ole="">
            <v:imagedata r:id="rId4" o:title=""/>
          </v:shape>
          <w:control r:id="rId33" w:name="DefaultOcxName55" w:shapeid="_x0000_i1176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устойчивом развитии организации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5" type="#_x0000_t75" style="width:20.25pt;height:18pt" o:ole="">
            <v:imagedata r:id="rId4" o:title=""/>
          </v:shape>
          <w:control r:id="rId34" w:name="DefaultOcxName127" w:shapeid="_x0000_i1175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умении менеджеров работать с подчиненными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4" type="#_x0000_t75" style="width:20.25pt;height:18pt" o:ole="">
            <v:imagedata r:id="rId4" o:title=""/>
          </v:shape>
          <w:control r:id="rId35" w:name="DefaultOcxName226" w:shapeid="_x0000_i1174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достижении максимальных результатов при минимальных затратах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3" type="#_x0000_t75" style="width:20.25pt;height:18pt" o:ole="">
            <v:imagedata r:id="rId4" o:title=""/>
          </v:shape>
          <w:control r:id="rId36" w:name="DefaultOcxName326" w:shapeid="_x0000_i1173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сумме полученной прибыли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28.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Для эффективной деятельности организации цели персонала: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2" type="#_x0000_t75" style="width:20.25pt;height:18pt" o:ole="">
            <v:imagedata r:id="rId4" o:title=""/>
          </v:shape>
          <w:control r:id="rId37" w:name="DefaultOcxName56" w:shapeid="_x0000_i1172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должны быть четко обозначены, но необязательно согласованы или подчинены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1" type="#_x0000_t75" style="width:20.25pt;height:18pt" o:ole="">
            <v:imagedata r:id="rId4" o:title=""/>
          </v:shape>
          <w:control r:id="rId38" w:name="DefaultOcxName128" w:shapeid="_x0000_i1171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не должны учитываться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70" type="#_x0000_t75" style="width:20.25pt;height:18pt" o:ole="">
            <v:imagedata r:id="rId4" o:title=""/>
          </v:shape>
          <w:control r:id="rId39" w:name="DefaultOcxName227" w:shapeid="_x0000_i1170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должны быть подчинены целям организации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9" type="#_x0000_t75" style="width:20.25pt;height:18pt" o:ole="">
            <v:imagedata r:id="rId4" o:title=""/>
          </v:shape>
          <w:control r:id="rId40" w:name="DefaultOcxName327" w:shapeid="_x0000_i1169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должны быть согласованы с целями организации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29.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Управленческая эффективность, в отличие от экономической, заключается в: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8" type="#_x0000_t75" style="width:20.25pt;height:18pt" o:ole="">
            <v:imagedata r:id="rId4" o:title=""/>
          </v:shape>
          <w:control r:id="rId41" w:name="DefaultOcxName57" w:shapeid="_x0000_i1168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устойчивом развитии организации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7" type="#_x0000_t75" style="width:20.25pt;height:18pt" o:ole="">
            <v:imagedata r:id="rId4" o:title=""/>
          </v:shape>
          <w:control r:id="rId42" w:name="DefaultOcxName129" w:shapeid="_x0000_i1167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сумме полученной прибыли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6" type="#_x0000_t75" style="width:20.25pt;height:18pt" o:ole="">
            <v:imagedata r:id="rId4" o:title=""/>
          </v:shape>
          <w:control r:id="rId43" w:name="DefaultOcxName228" w:shapeid="_x0000_i1166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достижении максимальных результатов при минимальных затратах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5" type="#_x0000_t75" style="width:20.25pt;height:18pt" o:ole="">
            <v:imagedata r:id="rId4" o:title=""/>
          </v:shape>
          <w:control r:id="rId44" w:name="DefaultOcxName328" w:shapeid="_x0000_i1165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достижении целей организации</w:t>
      </w:r>
    </w:p>
    <w:p w:rsidR="00C15D3C" w:rsidRPr="00A142E7" w:rsidRDefault="00C15D3C" w:rsidP="00C15D3C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FF0000"/>
          <w:sz w:val="21"/>
          <w:szCs w:val="21"/>
        </w:rPr>
      </w:pPr>
      <w:r w:rsidRPr="00A142E7">
        <w:rPr>
          <w:color w:val="FF0000"/>
        </w:rPr>
        <w:t>30.</w:t>
      </w:r>
      <w:r w:rsidRPr="00A142E7">
        <w:rPr>
          <w:rFonts w:ascii="Arial" w:hAnsi="Arial" w:cs="Arial"/>
          <w:color w:val="FF0000"/>
          <w:sz w:val="21"/>
          <w:szCs w:val="21"/>
        </w:rPr>
        <w:t xml:space="preserve"> Правило повышения эффективности деятельности организации:</w:t>
      </w: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15D3C" w:rsidRPr="00A142E7" w:rsidRDefault="00C15D3C" w:rsidP="00C15D3C">
      <w:pPr>
        <w:spacing w:line="300" w:lineRule="atLeast"/>
        <w:ind w:firstLine="0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Выберите один ответ: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4" type="#_x0000_t75" style="width:20.25pt;height:18pt" o:ole="">
            <v:imagedata r:id="rId4" o:title=""/>
          </v:shape>
          <w:control r:id="rId45" w:name="DefaultOcxName58" w:shapeid="_x0000_i1164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подчиненные должны добиваться целей, добывая себе ресурсы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3" type="#_x0000_t75" style="width:20.25pt;height:18pt" o:ole="">
            <v:imagedata r:id="rId4" o:title=""/>
          </v:shape>
          <w:control r:id="rId46" w:name="DefaultOcxName130" w:shapeid="_x0000_i1163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 организации не должно быть конкуренции между сотрудниками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object w:dxaOrig="405" w:dyaOrig="360">
          <v:shape id="_x0000_i1162" type="#_x0000_t75" style="width:20.25pt;height:18pt" o:ole="">
            <v:imagedata r:id="rId4" o:title=""/>
          </v:shape>
          <w:control r:id="rId47" w:name="DefaultOcxName229" w:shapeid="_x0000_i1162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чем меньше полномочий делегировано, тем эффективнее деятельность организации</w:t>
      </w:r>
    </w:p>
    <w:p w:rsidR="00C15D3C" w:rsidRPr="00A142E7" w:rsidRDefault="00C15D3C" w:rsidP="00C15D3C">
      <w:pPr>
        <w:spacing w:line="300" w:lineRule="atLeast"/>
        <w:ind w:hanging="375"/>
        <w:jc w:val="lef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142E7">
        <w:rPr>
          <w:rFonts w:ascii="Arial" w:eastAsia="Times New Roman" w:hAnsi="Arial" w:cs="Arial"/>
          <w:color w:val="FF0000"/>
          <w:sz w:val="21"/>
          <w:szCs w:val="21"/>
        </w:rPr>
        <w:lastRenderedPageBreak/>
        <w:object w:dxaOrig="405" w:dyaOrig="360">
          <v:shape id="_x0000_i1161" type="#_x0000_t75" style="width:20.25pt;height:18pt" o:ole="">
            <v:imagedata r:id="rId4" o:title=""/>
          </v:shape>
          <w:control r:id="rId48" w:name="DefaultOcxName329" w:shapeid="_x0000_i1161"/>
        </w:object>
      </w:r>
      <w:r w:rsidRPr="00A142E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больше правил, меньше заданий</w:t>
      </w:r>
    </w:p>
    <w:p w:rsidR="001F4DD6" w:rsidRDefault="001F4DD6"/>
    <w:sectPr w:rsidR="001F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23"/>
    <w:rsid w:val="00024FEB"/>
    <w:rsid w:val="001F4DD6"/>
    <w:rsid w:val="00225823"/>
    <w:rsid w:val="006E388D"/>
    <w:rsid w:val="00C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837"/>
  <w15:chartTrackingRefBased/>
  <w15:docId w15:val="{7B90EBD5-0A4C-48BF-83DF-9D3E9F0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3C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D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4</cp:revision>
  <dcterms:created xsi:type="dcterms:W3CDTF">2017-07-29T19:27:00Z</dcterms:created>
  <dcterms:modified xsi:type="dcterms:W3CDTF">2017-07-29T19:38:00Z</dcterms:modified>
</cp:coreProperties>
</file>