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Экономические информационные системы предназначены для управления экономическими: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25pt;height:18pt" o:ole="">
            <v:imagedata r:id="rId4" o:title=""/>
          </v:shape>
          <w:control r:id="rId5" w:name="DefaultOcxName" w:shapeid="_x0000_i1048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проектами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6" w:name="DefaultOcxName1" w:shapeid="_x0000_i1047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операциями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7" w:name="DefaultOcxName2" w:shapeid="_x0000_i1046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планами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8" w:name="DefaultOcxName3" w:shapeid="_x0000_i1045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объектами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Предметно-ориентированные экономические информационные системы относятся к _____________ части экономических информационных систем.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9" w:name="DefaultOcxName4" w:shapeid="_x0000_i1060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обеспечивающей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0" w:name="DefaultOcxName11" w:shapeid="_x0000_i1059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технологической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1" w:name="DefaultOcxName21" w:shapeid="_x0000_i1058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функциональной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2" w:name="DefaultOcxName31" w:shapeid="_x0000_i1057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правовой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Три основные задачи экономических информационных систем: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3" w:name="DefaultOcxName5" w:shapeid="_x0000_i1072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правовое обеспечение, анализ и налоговая отчетность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4" w:name="DefaultOcxName12" w:shapeid="_x0000_i1071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контроль, учет и отчетность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5" w:name="DefaultOcxName22" w:shapeid="_x0000_i1070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учет, анализ и планирование для принятия управленческих решений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16" w:name="DefaultOcxName32" w:shapeid="_x0000_i1069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анализ, планирование, прогнозирование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Комплекс взаимосвязанных средств определенного вида, состоящих из информационного, лингвистического, технического, программного, математического, организационного, правового и эргономического обеспечения относится к _________________ части экономических информационных систем.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17" w:name="DefaultOcxName6" w:shapeid="_x0000_i1084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технологической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18" w:name="DefaultOcxName13" w:shapeid="_x0000_i1083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обеспечивающей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19" w:name="DefaultOcxName23" w:shapeid="_x0000_i1082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операционной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0" w:name="DefaultOcxName33" w:shapeid="_x0000_i1081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функциональной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Программы “Статистика”, “</w:t>
      </w:r>
      <w:proofErr w:type="spellStart"/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Miсrosoft</w:t>
      </w:r>
      <w:proofErr w:type="spellEnd"/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</w:t>
      </w:r>
      <w:proofErr w:type="spellStart"/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Excel</w:t>
      </w:r>
      <w:proofErr w:type="spellEnd"/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” относятся к классу систем: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1" w:name="DefaultOcxName7" w:shapeid="_x0000_i1096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управленческого консалтинга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2" w:name="DefaultOcxName14" w:shapeid="_x0000_i1095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автоматизированной обработки первичной экономической информации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3" w:name="DefaultOcxName24" w:shapeid="_x0000_i1094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финансового анализа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4" w:name="DefaultOcxName34" w:shapeid="_x0000_i1093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финансового планирования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Программы “Альт-Инвест 3.0”, “Альт-Финансы 1.5”, “Альт-Эксперт 1.0” относятся к классу систем: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5" w:name="DefaultOcxName8" w:shapeid="_x0000_i1108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бухгалтерского учета и отчетности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26" w:name="DefaultOcxName15" w:shapeid="_x0000_i1107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финансового анализа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27" w:name="DefaultOcxName25" w:shapeid="_x0000_i1106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финансового планирования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28" w:name="DefaultOcxName35" w:shapeid="_x0000_i1105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автоматизированной обработки первичной экономической информации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 организационно-структурным показателям возможностей ПОЭИС относят: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29" w:name="DefaultOcxName9" w:shapeid="_x0000_i1120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качество информационного обеспечения ПОЭИС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0" w:name="DefaultOcxName16" w:shapeid="_x0000_i1119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время начала и окончания управления; частота управляющих воздействий; цикл управления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1" w:name="DefaultOcxName26" w:shapeid="_x0000_i1118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адаптивность; пропускная способность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2" w:name="DefaultOcxName36" w:shapeid="_x0000_i1117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средства, используемые в различных элементах; характер связей между различными элементами; резервирование различных элементов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Пространственные показатели ПОЭИС включают: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3" w:name="DefaultOcxName10" w:shapeid="_x0000_i1132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состав ПОЭИС; размещение элементов; подвижность элементов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4" w:name="DefaultOcxName17" w:shapeid="_x0000_i1131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вероятность пребывания системы в адаптивном состоянии по частному показателю возможностей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5" w:name="DefaultOcxName27" w:shapeid="_x0000_i1130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помехозащищенность; скрытность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36" w:name="DefaultOcxName37" w:shapeid="_x0000_i1129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размеры областей управления; кратность областей управления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 временным показателям возможностей ПОЭИС относят: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37" w:name="DefaultOcxName19" w:shapeid="_x0000_i1144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средства, используемые в различных элементах; характер связей между различными элементами; резервирование различных элементов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38" w:name="DefaultOcxName18" w:shapeid="_x0000_i1143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качество информационного обеспечения ПОЭИС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39" w:name="DefaultOcxName28" w:shapeid="_x0000_i1142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время начала и окончания управления; частота управляющих воздействий; цикл управления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0" w:name="DefaultOcxName38" w:shapeid="_x0000_i1141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вероятность пребывания системы в адаптивном состоянии в течение заданного времени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 функциональным показателям возможностей ПОЭИС относят: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1" w:name="DefaultOcxName20" w:shapeid="_x0000_i1156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показатели качества хранения информации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2" w:name="DefaultOcxName110" w:shapeid="_x0000_i1155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количество источников информации и качество этой информации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3" w:name="DefaultOcxName29" w:shapeid="_x0000_i1154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помехозащищенность, скрытность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4" w:name="DefaultOcxName39" w:shapeid="_x0000_i1153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адаптивность, пропускную способность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 разных сферах финансово-экономической деятельности преобразование информации осуществляется: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45" w:name="DefaultOcxName30" w:shapeid="_x0000_i1168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 разным алгоритмам с разной преобразующей функцией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46" w:name="DefaultOcxName111" w:shapeid="_x0000_i1167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 одному и тому же алгоритму с разной преобразующей функцией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47" w:name="DefaultOcxName210" w:shapeid="_x0000_i1166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 одному и тому же алгоритму с одинаковой преобразующей функцией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48" w:name="DefaultOcxName310" w:shapeid="_x0000_i1165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 разным алгоритмам с одинаковой преобразующей функцией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Реализация всех функций управления в реальном масштабе времени приводит к __________ условного деления процесса управления на функциональные этапы, такие как выработка и принятие решений, планирование и организация действий.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49" w:name="DefaultOcxName40" w:shapeid="_x0000_i1180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усилению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0" w:name="DefaultOcxName112" w:shapeid="_x0000_i1179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расширению сферы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1" w:name="DefaultOcxName211" w:shapeid="_x0000_i1178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автоматизации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2" w:name="DefaultOcxName311" w:shapeid="_x0000_i1177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ликвидации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Существенное увеличение гибкости управления осуществляется за счет практически мгновенного изменения пользовательского интерфейса информационной системы посредством применения современных технологий ______________систем.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3" w:name="DefaultOcxName41" w:shapeid="_x0000_i1192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конфигурирования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4" w:name="DefaultOcxName113" w:shapeid="_x0000_i1191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разработки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55" w:name="DefaultOcxName212" w:shapeid="_x0000_i1190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администрирования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56" w:name="DefaultOcxName312" w:shapeid="_x0000_i1189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апгрейда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Алгоритм работы при решении задачи обработки первичной экономической информации начинается с этапа: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57" w:name="DefaultOcxName42" w:shapeid="_x0000_i1204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постановки задачи и подбора исходной информации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58" w:name="DefaultOcxName114" w:shapeid="_x0000_i1203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определения качества моделей (адекватности и точности)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59" w:name="DefaultOcxName213" w:shapeid="_x0000_i1202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численного оценивания параметров моделей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60" w:name="DefaultOcxName313" w:shapeid="_x0000_i1201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предварительного анализа данных и формирования набора моделей прогнозирования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Заключительный этап при решении задачи обработки первичной экономической информации: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6" type="#_x0000_t75" style="width:20.25pt;height:18pt" o:ole="">
            <v:imagedata r:id="rId4" o:title=""/>
          </v:shape>
          <w:control r:id="rId61" w:name="DefaultOcxName43" w:shapeid="_x0000_i1216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получение точечного и интервального прогнозов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5" type="#_x0000_t75" style="width:20.25pt;height:18pt" o:ole="">
            <v:imagedata r:id="rId4" o:title=""/>
          </v:shape>
          <w:control r:id="rId62" w:name="DefaultOcxName115" w:shapeid="_x0000_i1215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выбор лучшей или построение обобщенной модели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214" type="#_x0000_t75" style="width:20.25pt;height:18pt" o:ole="">
            <v:imagedata r:id="rId4" o:title=""/>
          </v:shape>
          <w:control r:id="rId63" w:name="DefaultOcxName214" w:shapeid="_x0000_i1214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содержательный комментарий полученного прогноза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3" type="#_x0000_t75" style="width:20.25pt;height:18pt" o:ole="">
            <v:imagedata r:id="rId4" o:title=""/>
          </v:shape>
          <w:control r:id="rId64" w:name="DefaultOcxName314" w:shapeid="_x0000_i1213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определение качества моделей (адекватности и точности)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Средство анализа, служащее для создания одномерного статистического отчета и содержащее информацию о центральной тенденции и изменчивости входных данных: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8" type="#_x0000_t75" style="width:20.25pt;height:18pt" o:ole="">
            <v:imagedata r:id="rId4" o:title=""/>
          </v:shape>
          <w:control r:id="rId65" w:name="DefaultOcxName44" w:shapeid="_x0000_i1228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описательная статистика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7" type="#_x0000_t75" style="width:20.25pt;height:18pt" o:ole="">
            <v:imagedata r:id="rId4" o:title=""/>
          </v:shape>
          <w:control r:id="rId66" w:name="DefaultOcxName116" w:shapeid="_x0000_i1227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 соответствий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6" type="#_x0000_t75" style="width:20.25pt;height:18pt" o:ole="">
            <v:imagedata r:id="rId4" o:title=""/>
          </v:shape>
          <w:control r:id="rId67" w:name="DefaultOcxName215" w:shapeid="_x0000_i1226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линейный анализ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5" type="#_x0000_t75" style="width:20.25pt;height:18pt" o:ole="">
            <v:imagedata r:id="rId4" o:title=""/>
          </v:shape>
          <w:control r:id="rId68" w:name="DefaultOcxName315" w:shapeid="_x0000_i1225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кластерный анализ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Обеспечение руководства предприятий своевременной и надежной информацией о финансовых результатах деятельности предприятия, его финансовом состоянии и эффективности финансово-хозяйственной деятельности является одной из целей автоматизации: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0" type="#_x0000_t75" style="width:20.25pt;height:18pt" o:ole="">
            <v:imagedata r:id="rId4" o:title=""/>
          </v:shape>
          <w:control r:id="rId69" w:name="DefaultOcxName45" w:shapeid="_x0000_i1240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маркетинговой деятельности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9" type="#_x0000_t75" style="width:20.25pt;height:18pt" o:ole="">
            <v:imagedata r:id="rId4" o:title=""/>
          </v:shape>
          <w:control r:id="rId70" w:name="DefaultOcxName117" w:shapeid="_x0000_i1239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бухгалтерского учета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8" type="#_x0000_t75" style="width:20.25pt;height:18pt" o:ole="">
            <v:imagedata r:id="rId4" o:title=""/>
          </v:shape>
          <w:control r:id="rId71" w:name="DefaultOcxName216" w:shapeid="_x0000_i1238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бюджетирования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7" type="#_x0000_t75" style="width:20.25pt;height:18pt" o:ole="">
            <v:imagedata r:id="rId4" o:title=""/>
          </v:shape>
          <w:control r:id="rId72" w:name="DefaultOcxName316" w:shapeid="_x0000_i1237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финансово-экономического анализа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Модели сложения, умножения, деления, удлинения, расширения и сокращения факторной системы, цепных подстановок и др. относят к группе: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2" type="#_x0000_t75" style="width:20.25pt;height:18pt" o:ole="">
            <v:imagedata r:id="rId4" o:title=""/>
          </v:shape>
          <w:control r:id="rId73" w:name="DefaultOcxName46" w:shapeid="_x0000_i1252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статистических методов экономического анализа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1" type="#_x0000_t75" style="width:20.25pt;height:18pt" o:ole="">
            <v:imagedata r:id="rId4" o:title=""/>
          </v:shape>
          <w:control r:id="rId74" w:name="DefaultOcxName118" w:shapeid="_x0000_i1251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экономико-математических методов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0" type="#_x0000_t75" style="width:20.25pt;height:18pt" o:ole="">
            <v:imagedata r:id="rId4" o:title=""/>
          </v:shape>
          <w:control r:id="rId75" w:name="DefaultOcxName217" w:shapeid="_x0000_i1250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методов моделирования финансово-экономических систем и процессов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9" type="#_x0000_t75" style="width:20.25pt;height:18pt" o:ole="">
            <v:imagedata r:id="rId4" o:title=""/>
          </v:shape>
          <w:control r:id="rId76" w:name="DefaultOcxName317" w:shapeid="_x0000_i1249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бухгалтерских методов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Методы элементарной и высшей математики, математической статистики, эконометрические методы, методы математического программирования, исследования операций, эвристические методы и др. относят к группе: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4" type="#_x0000_t75" style="width:20.25pt;height:18pt" o:ole="">
            <v:imagedata r:id="rId4" o:title=""/>
          </v:shape>
          <w:control r:id="rId77" w:name="DefaultOcxName47" w:shapeid="_x0000_i1264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бухгалтерских методов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3" type="#_x0000_t75" style="width:20.25pt;height:18pt" o:ole="">
            <v:imagedata r:id="rId4" o:title=""/>
          </v:shape>
          <w:control r:id="rId78" w:name="DefaultOcxName119" w:shapeid="_x0000_i1263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методов моделирования финансово-экономических систем и процессов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2" type="#_x0000_t75" style="width:20.25pt;height:18pt" o:ole="">
            <v:imagedata r:id="rId4" o:title=""/>
          </v:shape>
          <w:control r:id="rId79" w:name="DefaultOcxName218" w:shapeid="_x0000_i1262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экономико-математических методов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1" type="#_x0000_t75" style="width:20.25pt;height:18pt" o:ole="">
            <v:imagedata r:id="rId4" o:title=""/>
          </v:shape>
          <w:control r:id="rId80" w:name="DefaultOcxName318" w:shapeid="_x0000_i1261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статистических методов экономического анализа</w:t>
      </w:r>
    </w:p>
    <w:p w:rsid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Определение показателей деловой активности (отдача всех активов, отдача основных средств, оборачиваемость оборотных средств, оборачиваемость запасов, оборачиваемость дебиторской задолженности, оборачиваемость ликвидных активов, отдача собственного капитала) осуществляется в ходе анализа ____________ предприятия.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6" type="#_x0000_t75" style="width:20.25pt;height:18pt" o:ole="">
            <v:imagedata r:id="rId4" o:title=""/>
          </v:shape>
          <w:control r:id="rId81" w:name="DefaultOcxName48" w:shapeid="_x0000_i1276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эффективности финансово-хозяйственной деятельности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5" type="#_x0000_t75" style="width:20.25pt;height:18pt" o:ole="">
            <v:imagedata r:id="rId4" o:title=""/>
          </v:shape>
          <w:control r:id="rId82" w:name="DefaultOcxName120" w:shapeid="_x0000_i1275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финансово-экономического состояния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4" type="#_x0000_t75" style="width:20.25pt;height:18pt" o:ole="">
            <v:imagedata r:id="rId4" o:title=""/>
          </v:shape>
          <w:control r:id="rId83" w:name="DefaultOcxName219" w:shapeid="_x0000_i1274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финансовых результатов деятельности</w:t>
      </w:r>
    </w:p>
    <w:p w:rsid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3" type="#_x0000_t75" style="width:20.25pt;height:18pt" o:ole="">
            <v:imagedata r:id="rId4" o:title=""/>
          </v:shape>
          <w:control r:id="rId84" w:name="DefaultOcxName319" w:shapeid="_x0000_i1273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эффективности инвестиционной деятельности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Программы, относящиеся к бухгалтерским экономическим системам: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8" type="#_x0000_t75" style="width:20.25pt;height:18pt" o:ole="">
            <v:imagedata r:id="rId4" o:title=""/>
          </v:shape>
          <w:control r:id="rId85" w:name="DefaultOcxName49" w:shapeid="_x0000_i1288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Альт-План, </w:t>
      </w:r>
      <w:proofErr w:type="spellStart"/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Project</w:t>
      </w:r>
      <w:proofErr w:type="spellEnd"/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</w:t>
      </w:r>
      <w:proofErr w:type="spellStart"/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Expert</w:t>
      </w:r>
      <w:proofErr w:type="spellEnd"/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, ИНЭК-аналитик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7" type="#_x0000_t75" style="width:20.25pt;height:18pt" o:ole="">
            <v:imagedata r:id="rId4" o:title=""/>
          </v:shape>
          <w:control r:id="rId86" w:name="DefaultOcxName121" w:shapeid="_x0000_i1287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  <w:t xml:space="preserve">Audit Expert, </w:t>
      </w:r>
      <w:proofErr w:type="spellStart"/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Финэксперт</w:t>
      </w:r>
      <w:proofErr w:type="spellEnd"/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6" type="#_x0000_t75" style="width:20.25pt;height:18pt" o:ole="">
            <v:imagedata r:id="rId4" o:title=""/>
          </v:shape>
          <w:control r:id="rId87" w:name="DefaultOcxName220" w:shapeid="_x0000_i1286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  <w:t>EGAR Credit Administration, RC-BANK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5" type="#_x0000_t75" style="width:20.25pt;height:18pt" o:ole="">
            <v:imagedata r:id="rId4" o:title=""/>
          </v:shape>
          <w:control r:id="rId88" w:name="DefaultOcxName320" w:shapeid="_x0000_i1285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1С: Предприятие, Интеллект-Сервис, Парус, Галактика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Программное обеспечение, предназначенное для ведения бухгалтерского и фискального (направленного на удовлетворение требований государства по расчёту и уплате налогов) учёта: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0" type="#_x0000_t75" style="width:20.25pt;height:18pt" o:ole="">
            <v:imagedata r:id="rId4" o:title=""/>
          </v:shape>
          <w:control r:id="rId89" w:name="DefaultOcxName50" w:shapeid="_x0000_i1300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системы управления проектами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9" type="#_x0000_t75" style="width:20.25pt;height:18pt" o:ole="">
            <v:imagedata r:id="rId4" o:title=""/>
          </v:shape>
          <w:control r:id="rId90" w:name="DefaultOcxName122" w:shapeid="_x0000_i1299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системы финансового планирования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8" type="#_x0000_t75" style="width:20.25pt;height:18pt" o:ole="">
            <v:imagedata r:id="rId4" o:title=""/>
          </v:shape>
          <w:control r:id="rId91" w:name="DefaultOcxName221" w:shapeid="_x0000_i1298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бухгалтерские системы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7" type="#_x0000_t75" style="width:20.25pt;height:18pt" o:ole="">
            <v:imagedata r:id="rId4" o:title=""/>
          </v:shape>
          <w:control r:id="rId92" w:name="DefaultOcxName321" w:shapeid="_x0000_i1297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налоговые системы</w:t>
      </w:r>
    </w:p>
    <w:p w:rsidR="00CD4BF5" w:rsidRPr="00CD4BF5" w:rsidRDefault="00CD4BF5" w:rsidP="00CD4BF5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proofErr w:type="gramStart"/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Бухгалтерские системы</w:t>
      </w:r>
      <w:proofErr w:type="gramEnd"/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предназначенные для учёта доходов и расходов, учёта персональных кредитов, частных инвестиций:</w:t>
      </w:r>
    </w:p>
    <w:p w:rsidR="00CD4BF5" w:rsidRPr="00CD4BF5" w:rsidRDefault="00CD4BF5" w:rsidP="00CD4BF5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D4BF5" w:rsidRPr="00CD4BF5" w:rsidRDefault="00CD4BF5" w:rsidP="00CD4BF5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2" type="#_x0000_t75" style="width:20.25pt;height:18pt" o:ole="">
            <v:imagedata r:id="rId4" o:title=""/>
          </v:shape>
          <w:control r:id="rId93" w:name="DefaultOcxName51" w:shapeid="_x0000_i1312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корпоративные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1" type="#_x0000_t75" style="width:20.25pt;height:18pt" o:ole="">
            <v:imagedata r:id="rId4" o:title=""/>
          </v:shape>
          <w:control r:id="rId94" w:name="DefaultOcxName123" w:shapeid="_x0000_i1311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локальные</w:t>
      </w:r>
    </w:p>
    <w:p w:rsidR="00CD4BF5" w:rsidRPr="00CD4BF5" w:rsidRDefault="00CD4BF5" w:rsidP="00CD4BF5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0" type="#_x0000_t75" style="width:20.25pt;height:18pt" o:ole="">
            <v:imagedata r:id="rId4" o:title=""/>
          </v:shape>
          <w:control r:id="rId95" w:name="DefaultOcxName222" w:shapeid="_x0000_i1310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частные</w:t>
      </w:r>
    </w:p>
    <w:p w:rsidR="00CD4BF5" w:rsidRPr="00CD4BF5" w:rsidRDefault="00CD4BF5" w:rsidP="00CD4BF5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9" type="#_x0000_t75" style="width:20.25pt;height:18pt" o:ole="">
            <v:imagedata r:id="rId4" o:title=""/>
          </v:shape>
          <w:control r:id="rId96" w:name="DefaultOcxName322" w:shapeid="_x0000_i1309"/>
        </w:object>
      </w:r>
      <w:r w:rsidRPr="00CD4BF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персональные</w:t>
      </w:r>
    </w:p>
    <w:p w:rsidR="008E1DEB" w:rsidRDefault="008E1DEB">
      <w:bookmarkStart w:id="0" w:name="_GoBack"/>
      <w:bookmarkEnd w:id="0"/>
    </w:p>
    <w:sectPr w:rsidR="008E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F5"/>
    <w:rsid w:val="008E1DEB"/>
    <w:rsid w:val="00C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2A9C-2C6B-43A4-B354-193C1020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25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9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7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5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5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6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1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4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5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5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0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9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4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27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2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5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4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3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3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1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6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6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5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9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2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8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7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7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0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2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6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6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0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5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6" Type="http://schemas.openxmlformats.org/officeDocument/2006/relationships/control" Target="activeX/activeX1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fontTable" Target="fontTable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2017-02-28T15:31:00Z</dcterms:created>
  <dcterms:modified xsi:type="dcterms:W3CDTF">2017-02-28T15:38:00Z</dcterms:modified>
</cp:coreProperties>
</file>