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A" w:rsidRPr="00CC64F7" w:rsidRDefault="00EB0D46" w:rsidP="00CC64F7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color w:val="auto"/>
        </w:rPr>
      </w:pPr>
      <w:bookmarkStart w:id="0" w:name="_GoBack"/>
      <w:bookmarkStart w:id="1" w:name="_Toc324070400"/>
      <w:bookmarkEnd w:id="0"/>
      <w:r w:rsidRPr="00CC64F7">
        <w:rPr>
          <w:rFonts w:ascii="Times New Roman" w:eastAsia="Calibri" w:hAnsi="Times New Roman" w:cs="Times New Roman"/>
          <w:sz w:val="28"/>
          <w:szCs w:val="28"/>
        </w:rPr>
        <w:t>Таблица 1 – Исходные данные</w:t>
      </w:r>
      <w:bookmarkEnd w:id="1"/>
    </w:p>
    <w:tbl>
      <w:tblPr>
        <w:tblStyle w:val="a3"/>
        <w:tblW w:w="9606" w:type="dxa"/>
        <w:tblLook w:val="04A0"/>
      </w:tblPr>
      <w:tblGrid>
        <w:gridCol w:w="1341"/>
        <w:gridCol w:w="1341"/>
        <w:gridCol w:w="1536"/>
        <w:gridCol w:w="1785"/>
        <w:gridCol w:w="3603"/>
      </w:tblGrid>
      <w:tr w:rsidR="00C01944" w:rsidRPr="00346E3D" w:rsidTr="00346E3D">
        <w:tc>
          <w:tcPr>
            <w:tcW w:w="1341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341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баланса</w:t>
            </w:r>
          </w:p>
        </w:tc>
        <w:tc>
          <w:tcPr>
            <w:tcW w:w="1536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1785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себестоимости</w:t>
            </w:r>
          </w:p>
        </w:tc>
        <w:tc>
          <w:tcPr>
            <w:tcW w:w="3603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</w:p>
        </w:tc>
      </w:tr>
      <w:tr w:rsidR="00C01944" w:rsidRPr="00346E3D" w:rsidTr="00346E3D">
        <w:tc>
          <w:tcPr>
            <w:tcW w:w="1341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6F13"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C01944" w:rsidRPr="00346E3D" w:rsidRDefault="00E66F13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E3D">
              <w:rPr>
                <w:rFonts w:ascii="Times New Roman" w:hAnsi="Times New Roman"/>
                <w:sz w:val="24"/>
                <w:szCs w:val="24"/>
              </w:rPr>
              <w:t>аэруъция</w:t>
            </w:r>
            <w:proofErr w:type="spellEnd"/>
          </w:p>
        </w:tc>
        <w:tc>
          <w:tcPr>
            <w:tcW w:w="1785" w:type="dxa"/>
          </w:tcPr>
          <w:p w:rsidR="00C01944" w:rsidRPr="00346E3D" w:rsidRDefault="00E66F13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01944" w:rsidRPr="00346E3D" w:rsidRDefault="00C01944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Методика Г. В. Савицкой</w:t>
            </w:r>
          </w:p>
          <w:p w:rsidR="00E66F13" w:rsidRPr="00346E3D" w:rsidRDefault="00E66F13" w:rsidP="00346E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944" w:rsidRPr="00346E3D" w:rsidRDefault="00E66F13" w:rsidP="00346E3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46E3D">
              <w:rPr>
                <w:rFonts w:ascii="Times New Roman" w:hAnsi="Times New Roman"/>
                <w:sz w:val="24"/>
                <w:szCs w:val="24"/>
              </w:rPr>
              <w:t>Методика банковского анализа кредитоспособности предприятия</w:t>
            </w:r>
          </w:p>
        </w:tc>
      </w:tr>
    </w:tbl>
    <w:p w:rsidR="002F1D9E" w:rsidRDefault="002F1D9E" w:rsidP="00346E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B0D46" w:rsidRPr="00ED282A" w:rsidTr="00BC6B72"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915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</w:tr>
      <w:tr w:rsidR="00EB0D46" w:rsidRPr="00ED282A" w:rsidTr="00BC6B72"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EB0D46" w:rsidRPr="00ED282A" w:rsidRDefault="00EB0D46" w:rsidP="00BC6B7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B0D46" w:rsidRPr="00CC64F7" w:rsidRDefault="00EB0D46" w:rsidP="00CC64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B0D46" w:rsidRPr="00CC64F7" w:rsidRDefault="00EB0D46" w:rsidP="00CC64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64F7">
        <w:rPr>
          <w:rFonts w:ascii="Times New Roman" w:eastAsia="Calibri" w:hAnsi="Times New Roman" w:cs="Times New Roman"/>
          <w:sz w:val="28"/>
          <w:szCs w:val="28"/>
        </w:rPr>
        <w:t>Таблица 2 – Хозяйственные операции за период</w:t>
      </w:r>
    </w:p>
    <w:tbl>
      <w:tblPr>
        <w:tblW w:w="9357" w:type="dxa"/>
        <w:tblInd w:w="98" w:type="dxa"/>
        <w:tblLook w:val="04A0"/>
      </w:tblPr>
      <w:tblGrid>
        <w:gridCol w:w="1786"/>
        <w:gridCol w:w="5423"/>
        <w:gridCol w:w="2148"/>
      </w:tblGrid>
      <w:tr w:rsidR="00E66F13" w:rsidRPr="00346E3D" w:rsidTr="00ED282A">
        <w:trPr>
          <w:trHeight w:val="3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КОД ОПЕРАЦИИ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СУММА ОПЕРАЦИИ</w:t>
            </w:r>
          </w:p>
        </w:tc>
      </w:tr>
      <w:tr w:rsidR="00E66F13" w:rsidRPr="00346E3D" w:rsidTr="00ED282A">
        <w:trPr>
          <w:trHeight w:val="302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ОПФ в размере %% от балансовой стоимости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10% от первоначальной стоимости + номер варианта</w:t>
            </w:r>
          </w:p>
        </w:tc>
      </w:tr>
      <w:tr w:rsidR="00E66F13" w:rsidRPr="00346E3D" w:rsidTr="00ED282A">
        <w:trPr>
          <w:trHeight w:val="906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Срок погашения 20% дебиторской задолженности приблизился, задолженность перешла в состояние до 12 месяцев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66F13" w:rsidRPr="00346E3D" w:rsidTr="00ED282A">
        <w:trPr>
          <w:trHeight w:val="906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Выплачены проценты по долгосрочному кредиту в размере … от суммы долгосрочного кредита на начало года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25% от суммы кредита</w:t>
            </w:r>
          </w:p>
        </w:tc>
      </w:tr>
      <w:tr w:rsidR="00E66F13" w:rsidRPr="00346E3D" w:rsidTr="00ED282A">
        <w:trPr>
          <w:trHeight w:val="60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Выплачены проценты по краткосрочному кредиту в размере … от суммы краткосрочного кредита на начало года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</w:tr>
      <w:tr w:rsidR="00E66F13" w:rsidRPr="00346E3D" w:rsidTr="00ED282A">
        <w:trPr>
          <w:trHeight w:val="60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Погашена кредиторская задолженность в размере … от имеющейся на начало года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E66F13" w:rsidRPr="00346E3D" w:rsidTr="00ED282A">
        <w:trPr>
          <w:trHeight w:val="302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Внесены авансы за покупные материалы, тыс. руб.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E66F13" w:rsidRPr="00346E3D" w:rsidTr="00ED282A">
        <w:trPr>
          <w:trHeight w:val="60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Привлечены долгосрочные заемные средства в размере, тыс. руб.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</w:tr>
      <w:tr w:rsidR="00E66F13" w:rsidRPr="00346E3D" w:rsidTr="00ED282A">
        <w:trPr>
          <w:trHeight w:val="302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Погашена дебиторская задолженность до года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13" w:rsidRPr="00346E3D" w:rsidRDefault="00E66F13" w:rsidP="00346E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E3D">
              <w:rPr>
                <w:rFonts w:ascii="Times New Roman" w:hAnsi="Times New Roman"/>
                <w:color w:val="000000"/>
                <w:sz w:val="24"/>
                <w:szCs w:val="24"/>
              </w:rPr>
              <w:t>На 60% от величины на начало периода</w:t>
            </w:r>
          </w:p>
        </w:tc>
      </w:tr>
    </w:tbl>
    <w:p w:rsidR="00E66F13" w:rsidRPr="00346E3D" w:rsidRDefault="00E66F13" w:rsidP="00346E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D282A" w:rsidRDefault="00ED282A" w:rsidP="00346E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82A" w:rsidRDefault="00ED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5B6" w:rsidRPr="00346E3D" w:rsidRDefault="00BA11D1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lastRenderedPageBreak/>
        <w:t>Результаты расчётов</w:t>
      </w:r>
    </w:p>
    <w:tbl>
      <w:tblPr>
        <w:tblStyle w:val="a3"/>
        <w:tblW w:w="9606" w:type="dxa"/>
        <w:tblLayout w:type="fixed"/>
        <w:tblLook w:val="04A0"/>
      </w:tblPr>
      <w:tblGrid>
        <w:gridCol w:w="1928"/>
        <w:gridCol w:w="2261"/>
        <w:gridCol w:w="2723"/>
        <w:gridCol w:w="2694"/>
      </w:tblGrid>
      <w:tr w:rsidR="00047682" w:rsidRPr="00ED282A" w:rsidTr="00CC64F7">
        <w:trPr>
          <w:trHeight w:val="693"/>
        </w:trPr>
        <w:tc>
          <w:tcPr>
            <w:tcW w:w="1928" w:type="dxa"/>
          </w:tcPr>
          <w:p w:rsidR="00573D75" w:rsidRPr="00ED282A" w:rsidRDefault="00573D75" w:rsidP="00ED28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ОПЕРАЦИИ</w:t>
            </w:r>
          </w:p>
        </w:tc>
        <w:tc>
          <w:tcPr>
            <w:tcW w:w="2261" w:type="dxa"/>
          </w:tcPr>
          <w:p w:rsidR="00573D75" w:rsidRPr="00ED282A" w:rsidRDefault="00573D75" w:rsidP="00ED28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2723" w:type="dxa"/>
          </w:tcPr>
          <w:p w:rsidR="00573D75" w:rsidRPr="00ED282A" w:rsidRDefault="00573D75" w:rsidP="00ED28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ОПЕРАЦИИ</w:t>
            </w:r>
          </w:p>
        </w:tc>
        <w:tc>
          <w:tcPr>
            <w:tcW w:w="2694" w:type="dxa"/>
          </w:tcPr>
          <w:p w:rsidR="00573D75" w:rsidRPr="00ED282A" w:rsidRDefault="00573D75" w:rsidP="00ED282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ОПЕРАЦИИ</w:t>
            </w:r>
          </w:p>
        </w:tc>
      </w:tr>
      <w:tr w:rsidR="00E66F13" w:rsidRPr="00ED282A" w:rsidTr="00CC64F7">
        <w:trPr>
          <w:trHeight w:val="1119"/>
        </w:trPr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ОПФ в размере 10 + 10 %% от балансовой стоимости</w:t>
            </w:r>
          </w:p>
        </w:tc>
        <w:tc>
          <w:tcPr>
            <w:tcW w:w="2723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1091198 * (10 + 10) / 100 = 218240</w:t>
            </w:r>
          </w:p>
        </w:tc>
        <w:tc>
          <w:tcPr>
            <w:tcW w:w="2694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ст.11</w:t>
            </w:r>
            <w:r w:rsidR="00624FAD" w:rsidRPr="00ED28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в ст. 121</w:t>
            </w:r>
            <w:r w:rsidR="00624FAD" w:rsidRPr="00ED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 xml:space="preserve"> (затраты на незавершенное производство)</w:t>
            </w:r>
          </w:p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учет амортизации в себестоимости.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Срок погашения 20% дебиторской задолженности приблизился, задолженность перешла в состояние до 12 месяцев</w:t>
            </w:r>
          </w:p>
        </w:tc>
        <w:tc>
          <w:tcPr>
            <w:tcW w:w="2723" w:type="dxa"/>
          </w:tcPr>
          <w:p w:rsidR="00E66F13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в ст. 1</w:t>
            </w:r>
            <w:r w:rsidR="00624FAD" w:rsidRPr="00ED2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FAD" w:rsidRPr="00ED2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 1</w:t>
            </w:r>
            <w:r w:rsidR="00624FAD" w:rsidRPr="00ED282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Выплачены проценты по долгосрочному кредиту в размере </w:t>
            </w:r>
            <w:r w:rsidR="00624FAD"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суммы долгосрочного кредита на начало года</w:t>
            </w:r>
          </w:p>
        </w:tc>
        <w:tc>
          <w:tcPr>
            <w:tcW w:w="2723" w:type="dxa"/>
          </w:tcPr>
          <w:p w:rsidR="00E66F13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28208 * 25 / 100 = 7052</w:t>
            </w:r>
          </w:p>
        </w:tc>
        <w:tc>
          <w:tcPr>
            <w:tcW w:w="2694" w:type="dxa"/>
          </w:tcPr>
          <w:p w:rsidR="00624FAD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ст.1410</w:t>
            </w:r>
          </w:p>
          <w:p w:rsidR="00E66F13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в ст. 1250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Выплачены проценты по краткосрочному кредиту в размере </w:t>
            </w:r>
            <w:r w:rsidR="00624FAD"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75 %</w:t>
            </w: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суммы краткосрочного кредита на начало года</w:t>
            </w:r>
          </w:p>
        </w:tc>
        <w:tc>
          <w:tcPr>
            <w:tcW w:w="2723" w:type="dxa"/>
          </w:tcPr>
          <w:p w:rsidR="00E66F13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444896 * 75 / 100 = 333672</w:t>
            </w:r>
          </w:p>
        </w:tc>
        <w:tc>
          <w:tcPr>
            <w:tcW w:w="2694" w:type="dxa"/>
          </w:tcPr>
          <w:p w:rsidR="00624FAD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ст.1510</w:t>
            </w:r>
          </w:p>
          <w:p w:rsidR="00E66F13" w:rsidRPr="00ED282A" w:rsidRDefault="00624FA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в ст. 1250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Погашена кредиторская задолженность в размере </w:t>
            </w:r>
            <w:r w:rsidR="00333E43"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50% </w:t>
            </w: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от имеющейся на начало года</w:t>
            </w:r>
          </w:p>
        </w:tc>
        <w:tc>
          <w:tcPr>
            <w:tcW w:w="2723" w:type="dxa"/>
          </w:tcPr>
          <w:p w:rsidR="00E66F13" w:rsidRPr="00ED282A" w:rsidRDefault="00333E4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312690 * 50 / 100 = 156345</w:t>
            </w:r>
          </w:p>
        </w:tc>
        <w:tc>
          <w:tcPr>
            <w:tcW w:w="2694" w:type="dxa"/>
          </w:tcPr>
          <w:p w:rsidR="00333E43" w:rsidRPr="00ED282A" w:rsidRDefault="00333E4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ст.1520</w:t>
            </w:r>
          </w:p>
          <w:p w:rsidR="00E66F13" w:rsidRPr="00ED282A" w:rsidRDefault="00333E43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в ст. 1250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Внесены авансы за покупные материалы, тыс. руб.</w:t>
            </w:r>
          </w:p>
        </w:tc>
        <w:tc>
          <w:tcPr>
            <w:tcW w:w="2723" w:type="dxa"/>
          </w:tcPr>
          <w:p w:rsidR="00E66F13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</w:tcPr>
          <w:p w:rsidR="001520F8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из ст.1520</w:t>
            </w:r>
          </w:p>
          <w:p w:rsidR="00E66F13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«-» в ст. 1250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Привлечены долгосрочные заемные средства в размере, тыс. руб.</w:t>
            </w:r>
          </w:p>
        </w:tc>
        <w:tc>
          <w:tcPr>
            <w:tcW w:w="2723" w:type="dxa"/>
          </w:tcPr>
          <w:p w:rsidR="00E66F13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2694" w:type="dxa"/>
          </w:tcPr>
          <w:p w:rsidR="001520F8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из ст.1410</w:t>
            </w:r>
          </w:p>
          <w:p w:rsidR="00E66F13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в ст. 1250</w:t>
            </w:r>
          </w:p>
        </w:tc>
      </w:tr>
      <w:tr w:rsidR="00E66F13" w:rsidRPr="00ED282A" w:rsidTr="00CC64F7">
        <w:tc>
          <w:tcPr>
            <w:tcW w:w="1928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1" w:type="dxa"/>
          </w:tcPr>
          <w:p w:rsidR="00E66F13" w:rsidRPr="00ED282A" w:rsidRDefault="00E66F13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Погашена дебиторская задолженность до года</w:t>
            </w:r>
            <w:r w:rsidR="001520F8"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60 %</w:t>
            </w:r>
          </w:p>
        </w:tc>
        <w:tc>
          <w:tcPr>
            <w:tcW w:w="2723" w:type="dxa"/>
          </w:tcPr>
          <w:p w:rsidR="00E66F13" w:rsidRPr="00ED282A" w:rsidRDefault="001520F8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430591 * 60 / 100 = 258355</w:t>
            </w:r>
          </w:p>
        </w:tc>
        <w:tc>
          <w:tcPr>
            <w:tcW w:w="2694" w:type="dxa"/>
          </w:tcPr>
          <w:p w:rsidR="001520F8" w:rsidRPr="00ED282A" w:rsidRDefault="00487877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r w:rsidR="001520F8" w:rsidRPr="00ED282A">
              <w:rPr>
                <w:rFonts w:ascii="Times New Roman" w:hAnsi="Times New Roman" w:cs="Times New Roman"/>
                <w:sz w:val="24"/>
                <w:szCs w:val="24"/>
              </w:rPr>
              <w:t>» из ст.1230</w:t>
            </w:r>
          </w:p>
          <w:p w:rsidR="00E66F13" w:rsidRPr="00ED282A" w:rsidRDefault="00487877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«+</w:t>
            </w:r>
            <w:r w:rsidR="001520F8" w:rsidRPr="00ED282A">
              <w:rPr>
                <w:rFonts w:ascii="Times New Roman" w:hAnsi="Times New Roman" w:cs="Times New Roman"/>
                <w:sz w:val="24"/>
                <w:szCs w:val="24"/>
              </w:rPr>
              <w:t>» в ст. 1250</w:t>
            </w:r>
          </w:p>
        </w:tc>
      </w:tr>
      <w:tr w:rsidR="0062192D" w:rsidRPr="00ED282A" w:rsidTr="00CC64F7">
        <w:tc>
          <w:tcPr>
            <w:tcW w:w="1928" w:type="dxa"/>
          </w:tcPr>
          <w:p w:rsidR="0062192D" w:rsidRPr="00ED282A" w:rsidRDefault="0062192D" w:rsidP="00ED282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 как, нет на расчетном счету денег, для совершения необходимых операций</w:t>
            </w:r>
          </w:p>
        </w:tc>
        <w:tc>
          <w:tcPr>
            <w:tcW w:w="2261" w:type="dxa"/>
          </w:tcPr>
          <w:p w:rsidR="0062192D" w:rsidRPr="00ED282A" w:rsidRDefault="0062192D" w:rsidP="00191F8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взять кредит в размере недостающей суммы </w:t>
            </w:r>
            <w:r w:rsidR="00191F82">
              <w:rPr>
                <w:rFonts w:ascii="Times New Roman" w:hAnsi="Times New Roman" w:cs="Times New Roman"/>
                <w:sz w:val="24"/>
                <w:szCs w:val="24"/>
              </w:rPr>
              <w:t>213716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723" w:type="dxa"/>
          </w:tcPr>
          <w:p w:rsidR="0062192D" w:rsidRPr="00ED282A" w:rsidRDefault="00191F82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213716</w:t>
            </w:r>
          </w:p>
        </w:tc>
        <w:tc>
          <w:tcPr>
            <w:tcW w:w="2694" w:type="dxa"/>
          </w:tcPr>
          <w:p w:rsidR="0062192D" w:rsidRPr="00ED282A" w:rsidRDefault="0062192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из ст.1410</w:t>
            </w:r>
          </w:p>
          <w:p w:rsidR="0062192D" w:rsidRPr="00ED282A" w:rsidRDefault="0062192D" w:rsidP="00ED28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«+» в ст. 1250</w:t>
            </w:r>
          </w:p>
        </w:tc>
      </w:tr>
    </w:tbl>
    <w:p w:rsidR="00BC38FF" w:rsidRPr="00CC64F7" w:rsidRDefault="00BC38FF" w:rsidP="00CC64F7">
      <w:pPr>
        <w:pStyle w:val="a4"/>
        <w:widowControl w:val="0"/>
        <w:spacing w:line="360" w:lineRule="auto"/>
        <w:ind w:firstLine="709"/>
        <w:jc w:val="both"/>
        <w:rPr>
          <w:b w:val="0"/>
          <w:color w:val="000000" w:themeColor="text1"/>
          <w:sz w:val="28"/>
          <w:szCs w:val="24"/>
        </w:rPr>
      </w:pPr>
    </w:p>
    <w:p w:rsidR="00EB0D46" w:rsidRPr="00CC64F7" w:rsidRDefault="00EB0D46" w:rsidP="00CC64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C64F7">
        <w:rPr>
          <w:rFonts w:ascii="Times New Roman" w:eastAsia="Calibri" w:hAnsi="Times New Roman" w:cs="Times New Roman"/>
          <w:sz w:val="28"/>
          <w:szCs w:val="24"/>
        </w:rPr>
        <w:t>Таблица 3 – Структура себестоимости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0"/>
        <w:gridCol w:w="949"/>
        <w:gridCol w:w="2235"/>
      </w:tblGrid>
      <w:tr w:rsidR="00EB0D46" w:rsidRPr="00CC64F7" w:rsidTr="00CC64F7">
        <w:trPr>
          <w:trHeight w:val="278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EB0D46" w:rsidRPr="00CC64F7" w:rsidTr="00CC64F7">
        <w:trPr>
          <w:trHeight w:val="278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sz w:val="24"/>
                <w:szCs w:val="24"/>
              </w:rPr>
              <w:t>509226,67</w:t>
            </w:r>
          </w:p>
        </w:tc>
      </w:tr>
      <w:tr w:rsidR="00EB0D46" w:rsidRPr="00CC64F7" w:rsidTr="00CC64F7">
        <w:trPr>
          <w:trHeight w:val="278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hAnsi="Times New Roman" w:cs="Times New Roman"/>
                <w:sz w:val="24"/>
                <w:szCs w:val="24"/>
              </w:rPr>
              <w:t>218240</w:t>
            </w:r>
          </w:p>
        </w:tc>
      </w:tr>
      <w:tr w:rsidR="00EB0D46" w:rsidRPr="00CC64F7" w:rsidTr="00CC64F7">
        <w:trPr>
          <w:trHeight w:val="278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sz w:val="24"/>
                <w:szCs w:val="24"/>
              </w:rPr>
              <w:t>363733,33</w:t>
            </w:r>
          </w:p>
        </w:tc>
      </w:tr>
      <w:tr w:rsidR="00EB0D46" w:rsidRPr="00CC64F7" w:rsidTr="00CC64F7">
        <w:trPr>
          <w:trHeight w:val="278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sz w:val="24"/>
                <w:szCs w:val="24"/>
              </w:rPr>
              <w:t>363733,33</w:t>
            </w:r>
          </w:p>
        </w:tc>
      </w:tr>
      <w:tr w:rsidR="00EB0D46" w:rsidRPr="00CC64F7" w:rsidTr="00CC64F7">
        <w:trPr>
          <w:trHeight w:val="295"/>
          <w:jc w:val="center"/>
        </w:trPr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EB0D46" w:rsidRPr="00CC64F7" w:rsidRDefault="00EB0D46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 w:cs="Times New Roman"/>
                <w:sz w:val="24"/>
                <w:szCs w:val="24"/>
              </w:rPr>
              <w:t>1454933,33</w:t>
            </w:r>
          </w:p>
        </w:tc>
      </w:tr>
    </w:tbl>
    <w:p w:rsidR="00EB0D46" w:rsidRPr="00CC64F7" w:rsidRDefault="00EB0D46" w:rsidP="00CC64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По структуре себестоимости, соответствующей варианту курсовой работы, амортизация составляет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%.  Таким образом мы можем найти остальные статьи затрат. 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Себестоимость – 100%</w:t>
      </w:r>
      <w:r w:rsidR="00CC64F7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Pr="00CC64F7">
        <w:rPr>
          <w:rFonts w:ascii="Times New Roman" w:eastAsia="Times New Roman" w:hAnsi="Times New Roman" w:cs="Times New Roman"/>
          <w:sz w:val="28"/>
          <w:szCs w:val="24"/>
        </w:rPr>
        <w:t>х</w:t>
      </w:r>
      <w:proofErr w:type="spellEnd"/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Амортизация –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% = </w:t>
      </w:r>
      <w:r w:rsidRPr="00CC64F7">
        <w:rPr>
          <w:rFonts w:ascii="Times New Roman" w:hAnsi="Times New Roman" w:cs="Times New Roman"/>
          <w:sz w:val="28"/>
          <w:szCs w:val="24"/>
        </w:rPr>
        <w:t>218240 тыс. руб.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Себестоимость = 100 * 218240 /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15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1454933,33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тыс.руб. 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ФОТ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=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0,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5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*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1454933,33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=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363733,33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тыс.руб.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Прочие расходы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=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0,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5*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1454933,33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= 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363733,33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тыс.руб.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Материалы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=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0,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5*</w:t>
      </w:r>
      <w:r w:rsidR="00FF2217" w:rsidRPr="00CC64F7">
        <w:rPr>
          <w:rFonts w:ascii="Times New Roman" w:eastAsia="Times New Roman" w:hAnsi="Times New Roman" w:cs="Times New Roman"/>
          <w:sz w:val="28"/>
          <w:szCs w:val="24"/>
        </w:rPr>
        <w:t xml:space="preserve">1454933,33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= </w:t>
      </w:r>
      <w:r w:rsidR="002D3AC9" w:rsidRPr="00CC64F7">
        <w:rPr>
          <w:rFonts w:ascii="Times New Roman" w:eastAsia="Times New Roman" w:hAnsi="Times New Roman" w:cs="Times New Roman"/>
          <w:sz w:val="28"/>
          <w:szCs w:val="24"/>
        </w:rPr>
        <w:t>509226,67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тыс.руб.</w:t>
      </w:r>
    </w:p>
    <w:p w:rsidR="0019190D" w:rsidRPr="00CC64F7" w:rsidRDefault="0019190D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Норма прибыли составляет </w:t>
      </w:r>
      <w:r w:rsidR="002D3AC9" w:rsidRPr="00CC64F7">
        <w:rPr>
          <w:rFonts w:ascii="Times New Roman" w:eastAsia="Times New Roman" w:hAnsi="Times New Roman" w:cs="Times New Roman"/>
          <w:sz w:val="28"/>
          <w:szCs w:val="24"/>
        </w:rPr>
        <w:t>2</w:t>
      </w:r>
      <w:r w:rsidR="00BC6B72">
        <w:rPr>
          <w:rFonts w:ascii="Times New Roman" w:eastAsia="Times New Roman" w:hAnsi="Times New Roman" w:cs="Times New Roman"/>
          <w:sz w:val="28"/>
          <w:szCs w:val="24"/>
        </w:rPr>
        <w:t>4</w:t>
      </w:r>
      <w:r w:rsidR="002D3AC9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%. Таким образом: </w:t>
      </w:r>
    </w:p>
    <w:p w:rsidR="0019190D" w:rsidRPr="00CC64F7" w:rsidRDefault="0019190D" w:rsidP="00CC64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Найдем Выручку:</w:t>
      </w:r>
    </w:p>
    <w:p w:rsidR="002D3AC9" w:rsidRPr="00CC64F7" w:rsidRDefault="002D3AC9" w:rsidP="00BC6B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>Прибыль от продаж = Себестоимость * Норма прибыли = 1454933,33 * 0,2</w:t>
      </w:r>
      <w:r w:rsidR="00BC6B72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= </w:t>
      </w:r>
      <w:r w:rsidR="00BC6B72">
        <w:rPr>
          <w:rFonts w:ascii="Times New Roman" w:eastAsia="Times New Roman" w:hAnsi="Times New Roman" w:cs="Times New Roman"/>
          <w:sz w:val="28"/>
          <w:szCs w:val="24"/>
          <w:lang w:eastAsia="ru-RU"/>
        </w:rPr>
        <w:t>349184</w:t>
      </w:r>
      <w:r w:rsidRPr="00CC6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D3AC9" w:rsidRPr="00BC6B72" w:rsidRDefault="002D3AC9" w:rsidP="00BC6B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Выручка = 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>Себестоимость + П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рибыл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>ь от продаж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= 1454933,33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 xml:space="preserve"> +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C6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349184 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w:r w:rsidR="00BC6B72" w:rsidRPr="00BC6B72">
        <w:rPr>
          <w:rFonts w:ascii="Times New Roman" w:eastAsia="Times New Roman" w:hAnsi="Times New Roman" w:cs="Times New Roman"/>
          <w:sz w:val="28"/>
          <w:szCs w:val="28"/>
          <w:lang w:eastAsia="ru-RU"/>
        </w:rPr>
        <w:t>1804117,33</w:t>
      </w:r>
      <w:r w:rsidR="00BC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руб.</w:t>
      </w:r>
    </w:p>
    <w:p w:rsidR="0019190D" w:rsidRPr="00CC64F7" w:rsidRDefault="0019190D" w:rsidP="00BC6B7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Сформируем отчет о 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>финансовых результатах</w:t>
      </w:r>
    </w:p>
    <w:p w:rsidR="00CC64F7" w:rsidRDefault="0019190D" w:rsidP="00BC6B7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Отчет о 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 xml:space="preserve">финансовых результатах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 xml:space="preserve">представлен в таблице 4. Для его формирования использована норма прибыли 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>2</w:t>
      </w:r>
      <w:r w:rsidR="00BC6B72">
        <w:rPr>
          <w:rFonts w:ascii="Times New Roman" w:eastAsia="Times New Roman" w:hAnsi="Times New Roman" w:cs="Times New Roman"/>
          <w:sz w:val="28"/>
          <w:szCs w:val="24"/>
        </w:rPr>
        <w:t>4</w:t>
      </w:r>
      <w:r w:rsidR="00EB0D46" w:rsidRPr="00CC64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%.</w:t>
      </w:r>
    </w:p>
    <w:p w:rsidR="00CC64F7" w:rsidRDefault="00CC64F7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19190D" w:rsidRPr="00CC64F7" w:rsidRDefault="00EB0D46" w:rsidP="00CC64F7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C64F7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Таблица 4</w:t>
      </w:r>
      <w:r w:rsidR="00CC64F7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19190D" w:rsidRPr="00CC64F7">
        <w:rPr>
          <w:rFonts w:ascii="Times New Roman" w:eastAsia="Times New Roman" w:hAnsi="Times New Roman" w:cs="Times New Roman"/>
          <w:sz w:val="28"/>
          <w:szCs w:val="24"/>
        </w:rPr>
        <w:t xml:space="preserve">Отчёт о </w:t>
      </w:r>
      <w:r w:rsidRPr="00CC64F7">
        <w:rPr>
          <w:rFonts w:ascii="Times New Roman" w:eastAsia="Times New Roman" w:hAnsi="Times New Roman" w:cs="Times New Roman"/>
          <w:sz w:val="28"/>
          <w:szCs w:val="24"/>
        </w:rPr>
        <w:t>финансовых результатах</w:t>
      </w:r>
    </w:p>
    <w:tbl>
      <w:tblPr>
        <w:tblStyle w:val="110"/>
        <w:tblW w:w="9475" w:type="dxa"/>
        <w:jc w:val="center"/>
        <w:tblInd w:w="370" w:type="dxa"/>
        <w:tblLook w:val="04A0"/>
      </w:tblPr>
      <w:tblGrid>
        <w:gridCol w:w="4041"/>
        <w:gridCol w:w="2717"/>
        <w:gridCol w:w="2717"/>
      </w:tblGrid>
      <w:tr w:rsidR="0019190D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CC64F7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Тыс.руб.</w:t>
            </w:r>
          </w:p>
        </w:tc>
      </w:tr>
      <w:tr w:rsidR="0019190D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CC64F7" w:rsidRDefault="0019190D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Выручка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BC6B72" w:rsidP="00BC6B7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1804117,33</w:t>
            </w:r>
          </w:p>
        </w:tc>
      </w:tr>
      <w:tr w:rsidR="0019190D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CC64F7" w:rsidRDefault="0019190D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Себестоимость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EB0D46" w:rsidP="00BC6B7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1454933,33</w:t>
            </w:r>
          </w:p>
        </w:tc>
      </w:tr>
      <w:tr w:rsidR="0019190D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CC64F7" w:rsidRDefault="0019190D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BC6B72" w:rsidP="00BC6B72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349184</w:t>
            </w:r>
          </w:p>
        </w:tc>
      </w:tr>
      <w:tr w:rsidR="0019190D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CC64F7" w:rsidRDefault="0019190D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19190D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0D" w:rsidRPr="00BC6B72" w:rsidRDefault="00BC6B72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349184</w:t>
            </w:r>
          </w:p>
        </w:tc>
      </w:tr>
      <w:tr w:rsidR="00713C35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CC64F7" w:rsidRDefault="00713C35" w:rsidP="00713C35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713C35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713C35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13C35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CC64F7" w:rsidRDefault="00713C35" w:rsidP="00713C35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Default="00713C35" w:rsidP="00713C35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713C35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340724</w:t>
            </w:r>
          </w:p>
        </w:tc>
      </w:tr>
      <w:tr w:rsidR="00713C35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CC64F7" w:rsidRDefault="00713C35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 xml:space="preserve">Прибыль до </w:t>
            </w:r>
            <w:proofErr w:type="spellStart"/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 xml:space="preserve">/о 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713C35" w:rsidRDefault="00713C35" w:rsidP="00713C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35">
              <w:rPr>
                <w:rFonts w:ascii="Times New Roman" w:hAnsi="Times New Roman"/>
                <w:sz w:val="24"/>
                <w:szCs w:val="24"/>
              </w:rPr>
              <w:t>8460</w:t>
            </w:r>
          </w:p>
        </w:tc>
      </w:tr>
      <w:tr w:rsidR="00713C35" w:rsidRPr="00CC64F7" w:rsidTr="00BC6B72">
        <w:trPr>
          <w:trHeight w:val="271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CC64F7" w:rsidRDefault="00713C35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Налог на прибыль ( 20%)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713C35" w:rsidRDefault="00713C35" w:rsidP="00713C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35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</w:tr>
      <w:tr w:rsidR="00713C35" w:rsidRPr="00CC64F7" w:rsidTr="00BC6B72">
        <w:trPr>
          <w:trHeight w:val="286"/>
          <w:jc w:val="center"/>
        </w:trPr>
        <w:tc>
          <w:tcPr>
            <w:tcW w:w="4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CC64F7" w:rsidRDefault="00713C35" w:rsidP="00CC64F7">
            <w:pPr>
              <w:widowControl w:val="0"/>
              <w:ind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F7">
              <w:rPr>
                <w:rFonts w:ascii="Times New Roman" w:eastAsia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BC6B72" w:rsidRDefault="00713C35" w:rsidP="00BC6B72">
            <w:pPr>
              <w:widowControl w:val="0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B72">
              <w:rPr>
                <w:rFonts w:ascii="Times New Roman" w:eastAsia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35" w:rsidRPr="00713C35" w:rsidRDefault="00713C35" w:rsidP="00713C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35">
              <w:rPr>
                <w:rFonts w:ascii="Times New Roman" w:hAnsi="Times New Roman"/>
                <w:sz w:val="24"/>
                <w:szCs w:val="24"/>
              </w:rPr>
              <w:t>6768</w:t>
            </w:r>
          </w:p>
        </w:tc>
      </w:tr>
    </w:tbl>
    <w:p w:rsidR="0019190D" w:rsidRPr="00CC64F7" w:rsidRDefault="0019190D" w:rsidP="00CC64F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673AB" w:rsidRPr="00CC64F7" w:rsidRDefault="000673AB" w:rsidP="00CC64F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C64F7">
        <w:rPr>
          <w:rFonts w:ascii="Times New Roman" w:eastAsia="Calibri" w:hAnsi="Times New Roman" w:cs="Times New Roman"/>
          <w:sz w:val="28"/>
          <w:szCs w:val="24"/>
        </w:rPr>
        <w:t>Таблица 5 – Бухгалтерский баланс на 31 декабря 2016 года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3531"/>
        <w:gridCol w:w="696"/>
        <w:gridCol w:w="1596"/>
        <w:gridCol w:w="2407"/>
        <w:gridCol w:w="1056"/>
      </w:tblGrid>
      <w:tr w:rsidR="00487877" w:rsidRPr="00ED282A" w:rsidTr="00487877">
        <w:trPr>
          <w:trHeight w:val="924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 +, -</w:t>
            </w: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487877" w:rsidRPr="00ED282A" w:rsidTr="00487877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ВНЕОБОРОТНЫЕ АКТИВЫ</w:t>
            </w:r>
          </w:p>
        </w:tc>
        <w:tc>
          <w:tcPr>
            <w:tcW w:w="696" w:type="dxa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55487</w:t>
            </w:r>
          </w:p>
        </w:tc>
        <w:tc>
          <w:tcPr>
            <w:tcW w:w="1276" w:type="dxa"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55487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 и разработок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68896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68896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1091198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218240</w:t>
            </w: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872958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696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8461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8461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34570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34570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1263091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1044851</w:t>
            </w:r>
          </w:p>
        </w:tc>
      </w:tr>
      <w:tr w:rsidR="00487877" w:rsidRPr="00ED282A" w:rsidTr="00487877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vAlign w:val="bottom"/>
            <w:hideMark/>
          </w:tcPr>
          <w:p w:rsidR="00487877" w:rsidRPr="00ED282A" w:rsidRDefault="00487877" w:rsidP="004878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bottom"/>
            <w:hideMark/>
          </w:tcPr>
          <w:p w:rsidR="00487877" w:rsidRPr="00ED282A" w:rsidRDefault="00487877" w:rsidP="004878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380312</w:t>
            </w:r>
          </w:p>
        </w:tc>
        <w:tc>
          <w:tcPr>
            <w:tcW w:w="1276" w:type="dxa"/>
            <w:vAlign w:val="bottom"/>
          </w:tcPr>
          <w:p w:rsidR="00487877" w:rsidRPr="00ED282A" w:rsidRDefault="00487877" w:rsidP="004878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487877" w:rsidRPr="00ED282A" w:rsidRDefault="00487877" w:rsidP="004878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598552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6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218240</w:t>
            </w:r>
          </w:p>
        </w:tc>
        <w:tc>
          <w:tcPr>
            <w:tcW w:w="1701" w:type="dxa"/>
            <w:vMerge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696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430591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258355</w:t>
            </w: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172236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160985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160985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7052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333672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156345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258355</w:t>
            </w:r>
            <w:r w:rsidR="00BF72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1F82">
              <w:rPr>
                <w:rFonts w:ascii="Times New Roman" w:hAnsi="Times New Roman" w:cs="Times New Roman"/>
                <w:sz w:val="24"/>
                <w:szCs w:val="24"/>
              </w:rPr>
              <w:t>213716</w:t>
            </w: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1010362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939449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2273453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1984300</w:t>
            </w:r>
          </w:p>
        </w:tc>
      </w:tr>
    </w:tbl>
    <w:p w:rsidR="00670F9C" w:rsidRPr="00346E3D" w:rsidRDefault="00670F9C" w:rsidP="00346E3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3531"/>
        <w:gridCol w:w="696"/>
        <w:gridCol w:w="1596"/>
        <w:gridCol w:w="1552"/>
        <w:gridCol w:w="1390"/>
      </w:tblGrid>
      <w:tr w:rsidR="00487877" w:rsidRPr="00ED282A" w:rsidTr="00487877">
        <w:trPr>
          <w:trHeight w:val="924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487877" w:rsidRPr="00ED282A" w:rsidTr="00487877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III. КАПИТАЛ И РЕЗЕРВЫ </w:t>
            </w: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696" w:type="dxa"/>
            <w:shd w:val="clear" w:color="auto" w:fill="auto"/>
            <w:hideMark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598164</w:t>
            </w:r>
          </w:p>
        </w:tc>
        <w:tc>
          <w:tcPr>
            <w:tcW w:w="1276" w:type="dxa"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BC6B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598164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696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4878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       </w:t>
            </w: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)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5372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      </w:t>
            </w: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)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Переоценка </w:t>
            </w:r>
            <w:proofErr w:type="spellStart"/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74725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74725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35582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35582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54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696" w:type="dxa"/>
            <w:shd w:val="clear" w:color="auto" w:fill="auto"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768955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768955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1477426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1477426</w:t>
            </w:r>
          </w:p>
        </w:tc>
      </w:tr>
      <w:tr w:rsidR="00487877" w:rsidRPr="00ED282A" w:rsidTr="0053724E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bottom"/>
            <w:hideMark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28208</w:t>
            </w:r>
          </w:p>
        </w:tc>
        <w:tc>
          <w:tcPr>
            <w:tcW w:w="1276" w:type="dxa"/>
            <w:vAlign w:val="bottom"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bottom"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229272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6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7052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  <w:r w:rsidR="00BF72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1F82">
              <w:rPr>
                <w:rFonts w:ascii="Times New Roman" w:hAnsi="Times New Roman" w:cs="Times New Roman"/>
                <w:sz w:val="24"/>
                <w:szCs w:val="24"/>
              </w:rPr>
              <w:t>213716</w:t>
            </w:r>
          </w:p>
        </w:tc>
        <w:tc>
          <w:tcPr>
            <w:tcW w:w="1666" w:type="dxa"/>
            <w:vMerge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37705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238769</w:t>
            </w:r>
          </w:p>
        </w:tc>
      </w:tr>
      <w:tr w:rsidR="00487877" w:rsidRPr="00ED282A" w:rsidTr="0053724E">
        <w:trPr>
          <w:trHeight w:val="300"/>
        </w:trPr>
        <w:tc>
          <w:tcPr>
            <w:tcW w:w="4244" w:type="dxa"/>
            <w:gridSpan w:val="2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  <w:tc>
          <w:tcPr>
            <w:tcW w:w="696" w:type="dxa"/>
            <w:vMerge w:val="restart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bottom"/>
            <w:hideMark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444896</w:t>
            </w:r>
          </w:p>
        </w:tc>
        <w:tc>
          <w:tcPr>
            <w:tcW w:w="1276" w:type="dxa"/>
            <w:vAlign w:val="bottom"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bottom"/>
          </w:tcPr>
          <w:p w:rsidR="00487877" w:rsidRPr="00ED282A" w:rsidRDefault="00487877" w:rsidP="005372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111224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6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2750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333672</w:t>
            </w:r>
          </w:p>
        </w:tc>
        <w:tc>
          <w:tcPr>
            <w:tcW w:w="1666" w:type="dxa"/>
            <w:vMerge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312690</w:t>
            </w:r>
          </w:p>
        </w:tc>
        <w:tc>
          <w:tcPr>
            <w:tcW w:w="1276" w:type="dxa"/>
          </w:tcPr>
          <w:p w:rsidR="00487877" w:rsidRPr="00ED282A" w:rsidRDefault="00275094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82A">
              <w:rPr>
                <w:rFonts w:ascii="Times New Roman" w:hAnsi="Times New Roman" w:cs="Times New Roman"/>
                <w:sz w:val="24"/>
                <w:szCs w:val="24"/>
              </w:rPr>
              <w:t>156345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156145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487877" w:rsidRPr="00ED282A" w:rsidTr="00487877">
        <w:trPr>
          <w:trHeight w:val="300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758322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268105</w:t>
            </w:r>
          </w:p>
        </w:tc>
      </w:tr>
      <w:tr w:rsidR="00487877" w:rsidRPr="00ED282A" w:rsidTr="00487877">
        <w:trPr>
          <w:trHeight w:val="315"/>
        </w:trPr>
        <w:tc>
          <w:tcPr>
            <w:tcW w:w="713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2273453</w:t>
            </w:r>
          </w:p>
        </w:tc>
        <w:tc>
          <w:tcPr>
            <w:tcW w:w="1276" w:type="dxa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87877" w:rsidRPr="00ED282A" w:rsidRDefault="00487877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1984300</w:t>
            </w:r>
          </w:p>
        </w:tc>
      </w:tr>
    </w:tbl>
    <w:p w:rsidR="00573D75" w:rsidRPr="00346E3D" w:rsidRDefault="00573D75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A44F08" w:rsidRPr="00346E3D" w:rsidRDefault="00A44F08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br w:type="page"/>
      </w:r>
    </w:p>
    <w:p w:rsidR="00671324" w:rsidRPr="009D33A3" w:rsidRDefault="006737BD" w:rsidP="00ED282A">
      <w:pPr>
        <w:widowControl w:val="0"/>
        <w:spacing w:after="0" w:line="360" w:lineRule="auto"/>
        <w:jc w:val="center"/>
        <w:rPr>
          <w:rStyle w:val="10"/>
          <w:rFonts w:ascii="Times New Roman" w:hAnsi="Times New Roman" w:cs="Times New Roman"/>
          <w:color w:val="auto"/>
        </w:rPr>
      </w:pPr>
      <w:r w:rsidRPr="009D33A3">
        <w:rPr>
          <w:rStyle w:val="10"/>
          <w:rFonts w:ascii="Times New Roman" w:hAnsi="Times New Roman" w:cs="Times New Roman"/>
          <w:color w:val="auto"/>
        </w:rPr>
        <w:lastRenderedPageBreak/>
        <w:t>Методика Г.В. Савицкой</w:t>
      </w:r>
    </w:p>
    <w:p w:rsidR="00B02072" w:rsidRPr="00346E3D" w:rsidRDefault="003D108D" w:rsidP="00346E3D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t>Анализ источников формирования капитала</w:t>
      </w:r>
    </w:p>
    <w:tbl>
      <w:tblPr>
        <w:tblW w:w="10160" w:type="dxa"/>
        <w:jc w:val="center"/>
        <w:tblLook w:val="04A0"/>
      </w:tblPr>
      <w:tblGrid>
        <w:gridCol w:w="2960"/>
        <w:gridCol w:w="1391"/>
        <w:gridCol w:w="1390"/>
        <w:gridCol w:w="1339"/>
        <w:gridCol w:w="1056"/>
        <w:gridCol w:w="1056"/>
        <w:gridCol w:w="968"/>
      </w:tblGrid>
      <w:tr w:rsidR="006B5EC1" w:rsidRPr="00ED282A" w:rsidTr="00ED282A">
        <w:trPr>
          <w:trHeight w:val="300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средств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средств, %</w:t>
            </w:r>
          </w:p>
        </w:tc>
      </w:tr>
      <w:tr w:rsidR="006B5EC1" w:rsidRPr="00ED282A" w:rsidTr="00ED282A">
        <w:trPr>
          <w:trHeight w:val="300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C1" w:rsidRPr="00ED282A" w:rsidRDefault="006B5EC1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1477426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1477426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64,99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9,47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</w:rPr>
              <w:t>Заёмный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796027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506874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-289153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35,01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-9,47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8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2273453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1984300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-289153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5EC1" w:rsidRPr="00346E3D" w:rsidRDefault="006B5EC1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CD48C3" w:rsidRPr="00346E3D" w:rsidRDefault="00CD48C3" w:rsidP="00346E3D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t>Динамика структуры собственного капитала</w:t>
      </w:r>
    </w:p>
    <w:tbl>
      <w:tblPr>
        <w:tblW w:w="10161" w:type="dxa"/>
        <w:jc w:val="center"/>
        <w:tblLook w:val="04A0"/>
      </w:tblPr>
      <w:tblGrid>
        <w:gridCol w:w="2960"/>
        <w:gridCol w:w="1374"/>
        <w:gridCol w:w="1373"/>
        <w:gridCol w:w="1373"/>
        <w:gridCol w:w="1051"/>
        <w:gridCol w:w="1051"/>
        <w:gridCol w:w="979"/>
      </w:tblGrid>
      <w:tr w:rsidR="00CD48C3" w:rsidRPr="00ED282A" w:rsidTr="00ED282A">
        <w:trPr>
          <w:trHeight w:val="300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средств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средств, %</w:t>
            </w:r>
          </w:p>
        </w:tc>
      </w:tr>
      <w:tr w:rsidR="00CD48C3" w:rsidRPr="00ED282A" w:rsidTr="00ED282A">
        <w:trPr>
          <w:trHeight w:val="300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C3" w:rsidRPr="00ED282A" w:rsidRDefault="00CD48C3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598164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598164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40,49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40,49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74725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74725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35582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35582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Непокрытая прибыль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768955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768955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06446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1477426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1477426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446" w:rsidRPr="00ED282A" w:rsidRDefault="00406446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D48C3" w:rsidRPr="00346E3D" w:rsidRDefault="00CD48C3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9E0D6A" w:rsidRPr="00346E3D" w:rsidRDefault="009E0D6A" w:rsidP="00346E3D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t>Динамика структуры заёмного капитала</w:t>
      </w:r>
    </w:p>
    <w:tbl>
      <w:tblPr>
        <w:tblW w:w="10160" w:type="dxa"/>
        <w:jc w:val="center"/>
        <w:tblLook w:val="04A0"/>
      </w:tblPr>
      <w:tblGrid>
        <w:gridCol w:w="2960"/>
        <w:gridCol w:w="1417"/>
        <w:gridCol w:w="1417"/>
        <w:gridCol w:w="1286"/>
        <w:gridCol w:w="1117"/>
        <w:gridCol w:w="1117"/>
        <w:gridCol w:w="846"/>
      </w:tblGrid>
      <w:tr w:rsidR="00D2524C" w:rsidRPr="00ED282A" w:rsidTr="00ED282A">
        <w:trPr>
          <w:trHeight w:val="300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средств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средств, %</w:t>
            </w:r>
          </w:p>
        </w:tc>
      </w:tr>
      <w:tr w:rsidR="00D2524C" w:rsidRPr="00ED282A" w:rsidTr="00ED282A">
        <w:trPr>
          <w:trHeight w:val="300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</w:p>
        </w:tc>
      </w:tr>
      <w:tr w:rsidR="00D2524C" w:rsidRPr="00ED282A" w:rsidTr="00ED282A">
        <w:trPr>
          <w:trHeight w:val="6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24C" w:rsidRPr="00ED282A" w:rsidRDefault="00D2524C" w:rsidP="00ED2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28208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229272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201064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45,23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41,69</w:t>
            </w:r>
          </w:p>
        </w:tc>
      </w:tr>
      <w:tr w:rsidR="007F7672" w:rsidRPr="00ED282A" w:rsidTr="00ED282A">
        <w:trPr>
          <w:trHeight w:val="6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9497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9497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672" w:rsidRPr="00ED282A" w:rsidTr="00ED282A">
        <w:trPr>
          <w:trHeight w:val="6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444896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111224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-333672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-33,95</w:t>
            </w:r>
          </w:p>
        </w:tc>
      </w:tr>
      <w:tr w:rsidR="007F7672" w:rsidRPr="00ED282A" w:rsidTr="00ED282A">
        <w:trPr>
          <w:trHeight w:val="6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312690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156145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-156545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39,28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-8,48</w:t>
            </w: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7672" w:rsidRPr="00ED282A" w:rsidTr="00ED282A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796027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506874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-289153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672" w:rsidRPr="00ED282A" w:rsidRDefault="007F7672" w:rsidP="00ED2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282A" w:rsidRDefault="00ED282A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ED282A" w:rsidRDefault="00ED282A">
      <w:pPr>
        <w:rPr>
          <w:rStyle w:val="10"/>
          <w:rFonts w:ascii="Times New Roman" w:hAnsi="Times New Roman" w:cs="Times New Roman"/>
          <w:b w:val="0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br w:type="page"/>
      </w:r>
    </w:p>
    <w:p w:rsidR="00915D00" w:rsidRPr="00346E3D" w:rsidRDefault="00915D00" w:rsidP="00346E3D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lastRenderedPageBreak/>
        <w:t>Группировка предприятий на классы по уровню платёжеспособности</w:t>
      </w:r>
    </w:p>
    <w:tbl>
      <w:tblPr>
        <w:tblStyle w:val="a3"/>
        <w:tblW w:w="0" w:type="auto"/>
        <w:tblLook w:val="01E0"/>
      </w:tblPr>
      <w:tblGrid>
        <w:gridCol w:w="1824"/>
        <w:gridCol w:w="1550"/>
        <w:gridCol w:w="1549"/>
        <w:gridCol w:w="1549"/>
        <w:gridCol w:w="1549"/>
        <w:gridCol w:w="1550"/>
      </w:tblGrid>
      <w:tr w:rsidR="00915D00" w:rsidRPr="00ED282A" w:rsidTr="004E30C6">
        <w:tc>
          <w:tcPr>
            <w:tcW w:w="1705" w:type="dxa"/>
            <w:vMerge w:val="restart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866" w:type="dxa"/>
            <w:gridSpan w:val="5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Границы классов согласно критериям</w:t>
            </w:r>
          </w:p>
        </w:tc>
      </w:tr>
      <w:tr w:rsidR="00915D00" w:rsidRPr="00ED282A" w:rsidTr="004E30C6">
        <w:tc>
          <w:tcPr>
            <w:tcW w:w="1705" w:type="dxa"/>
            <w:vMerge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D28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282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282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D282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74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D282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15D00" w:rsidRPr="00ED282A" w:rsidTr="004E30C6">
        <w:tc>
          <w:tcPr>
            <w:tcW w:w="1705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Рентабельность совокупного капитала, %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30 и выше = 50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29,9-20 = 49,9-35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19,9-10 = 34,9-20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9,9-1 = 19,9-5 баллов</w:t>
            </w:r>
          </w:p>
        </w:tc>
        <w:tc>
          <w:tcPr>
            <w:tcW w:w="1574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Менее 1 = 0 баллов</w:t>
            </w:r>
          </w:p>
        </w:tc>
      </w:tr>
      <w:tr w:rsidR="00915D00" w:rsidRPr="00ED282A" w:rsidTr="004E30C6">
        <w:tc>
          <w:tcPr>
            <w:tcW w:w="1705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2 и выше = 30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1,99-1,7 = 29,9-20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1,69-1,4 = 19,9-10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1,39-1,1 = 9,9-2 баллов</w:t>
            </w:r>
          </w:p>
        </w:tc>
        <w:tc>
          <w:tcPr>
            <w:tcW w:w="1574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 и ниже = 0 баллов</w:t>
            </w:r>
          </w:p>
        </w:tc>
      </w:tr>
      <w:tr w:rsidR="00915D00" w:rsidRPr="00ED282A" w:rsidTr="004E30C6">
        <w:tc>
          <w:tcPr>
            <w:tcW w:w="1705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Коэффициент финансовой независимости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0,7 и выше = 20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0,69-0,45 = 19,9-10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0,44-0,3 = 9,9-5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0,29-0,2 = 5-1 балл</w:t>
            </w:r>
          </w:p>
        </w:tc>
        <w:tc>
          <w:tcPr>
            <w:tcW w:w="1574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Менее 0,2 = 0 баллов</w:t>
            </w:r>
          </w:p>
        </w:tc>
      </w:tr>
      <w:tr w:rsidR="00915D00" w:rsidRPr="00ED282A" w:rsidTr="004E30C6">
        <w:tc>
          <w:tcPr>
            <w:tcW w:w="1705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Границы классов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99-65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64-35 баллов</w:t>
            </w:r>
          </w:p>
        </w:tc>
        <w:tc>
          <w:tcPr>
            <w:tcW w:w="1573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34-6 баллов</w:t>
            </w:r>
          </w:p>
        </w:tc>
        <w:tc>
          <w:tcPr>
            <w:tcW w:w="1574" w:type="dxa"/>
          </w:tcPr>
          <w:p w:rsidR="00915D00" w:rsidRPr="00ED282A" w:rsidRDefault="00915D00" w:rsidP="00ED28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82A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915D00" w:rsidRPr="00346E3D" w:rsidRDefault="00915D00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tbl>
      <w:tblPr>
        <w:tblW w:w="9679" w:type="dxa"/>
        <w:jc w:val="center"/>
        <w:tblLook w:val="04A0"/>
      </w:tblPr>
      <w:tblGrid>
        <w:gridCol w:w="4965"/>
        <w:gridCol w:w="986"/>
        <w:gridCol w:w="1371"/>
        <w:gridCol w:w="986"/>
        <w:gridCol w:w="1371"/>
      </w:tblGrid>
      <w:tr w:rsidR="00610B0E" w:rsidRPr="001754D5" w:rsidTr="00CC64F7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1754D5" w:rsidRPr="001754D5" w:rsidTr="00CC64F7">
        <w:trPr>
          <w:trHeight w:val="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4D5" w:rsidRPr="001754D5" w:rsidRDefault="001754D5" w:rsidP="00CC6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совокупного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D5" w:rsidRPr="001754D5" w:rsidRDefault="0099105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D5" w:rsidRPr="001754D5" w:rsidRDefault="0099105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54D5" w:rsidRPr="001754D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D5" w:rsidRPr="001754D5" w:rsidRDefault="0099105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4D5" w:rsidRPr="001754D5" w:rsidRDefault="0099105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54D5" w:rsidRPr="001754D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10B0E" w:rsidRPr="001754D5" w:rsidTr="00CC64F7">
        <w:trPr>
          <w:trHeight w:val="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Коэффицинт</w:t>
            </w:r>
            <w:proofErr w:type="spellEnd"/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hAnsi="Times New Roman"/>
                <w:sz w:val="24"/>
                <w:szCs w:val="24"/>
              </w:rPr>
              <w:t>2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610B0E" w:rsidRPr="001754D5" w:rsidTr="00CC64F7">
        <w:trPr>
          <w:trHeight w:val="2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Коэффицинт</w:t>
            </w:r>
            <w:proofErr w:type="spellEnd"/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независимости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610B0E" w:rsidRPr="00ED282A" w:rsidTr="00CC64F7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1754D5" w:rsidP="009910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1754D5" w:rsidRDefault="00610B0E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B0E" w:rsidRPr="00ED282A" w:rsidRDefault="001754D5" w:rsidP="009910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7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4D5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:rsidR="00610B0E" w:rsidRPr="00CC64F7" w:rsidRDefault="00610B0E" w:rsidP="00CC64F7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B45854" w:rsidRPr="00B45854" w:rsidRDefault="00B45854" w:rsidP="00CC64F7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64F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Рента</w:t>
      </w:r>
      <w:r w:rsidR="00061BD8" w:rsidRPr="00CC64F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бельность совокупного капитала</w:t>
      </w:r>
    </w:p>
    <w:p w:rsidR="00B45854" w:rsidRPr="00CC64F7" w:rsidRDefault="00B45854" w:rsidP="00CC64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64F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91050" cy="561975"/>
            <wp:effectExtent l="19050" t="0" r="0" b="0"/>
            <wp:docPr id="55" name="Рисунок 55" descr="Рентабельность совокупного капит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ентабельность совокупного капита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54" w:rsidRPr="00CC64F7" w:rsidRDefault="00B45854" w:rsidP="00CC64F7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CC64F7">
        <w:rPr>
          <w:rFonts w:ascii="Times New Roman" w:hAnsi="Times New Roman"/>
          <w:b w:val="0"/>
          <w:color w:val="auto"/>
          <w:sz w:val="28"/>
        </w:rPr>
        <w:t xml:space="preserve">Коэффициент текущей ликвидности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2456"/>
        <w:gridCol w:w="6294"/>
      </w:tblGrid>
      <w:tr w:rsidR="00061BD8" w:rsidRPr="00CC64F7" w:rsidTr="009D33A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61BD8" w:rsidRPr="00B45854" w:rsidRDefault="00061BD8" w:rsidP="009D3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Kтл</w:t>
            </w:r>
            <w:proofErr w:type="spellEnd"/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</w:tcPr>
          <w:p w:rsidR="00061BD8" w:rsidRPr="00CC64F7" w:rsidRDefault="00061BD8" w:rsidP="00CC6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4F7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0" w:type="auto"/>
            <w:hideMark/>
          </w:tcPr>
          <w:p w:rsidR="00061BD8" w:rsidRPr="00B45854" w:rsidRDefault="00061BD8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1200 </w:t>
            </w:r>
            <w:hyperlink r:id="rId8" w:history="1">
              <w:r w:rsidRPr="00CC64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Форма 1</w:t>
              </w:r>
            </w:hyperlink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стр. 1170 Форма 1)</w:t>
            </w:r>
          </w:p>
        </w:tc>
      </w:tr>
      <w:tr w:rsidR="00061BD8" w:rsidRPr="00CC64F7" w:rsidTr="009D33A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1BD8" w:rsidRPr="00B45854" w:rsidRDefault="00061BD8" w:rsidP="009D3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61BD8" w:rsidRPr="00CC64F7" w:rsidRDefault="00061BD8" w:rsidP="00CC6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4F7">
              <w:rPr>
                <w:rFonts w:ascii="Times New Roman" w:hAnsi="Times New Roman"/>
                <w:sz w:val="24"/>
                <w:szCs w:val="24"/>
              </w:rPr>
              <w:t>Текущие обязательства</w:t>
            </w:r>
          </w:p>
        </w:tc>
        <w:tc>
          <w:tcPr>
            <w:tcW w:w="0" w:type="auto"/>
            <w:hideMark/>
          </w:tcPr>
          <w:p w:rsidR="00061BD8" w:rsidRPr="00B45854" w:rsidRDefault="00061BD8" w:rsidP="00CC6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1500 Форма 1</w:t>
            </w:r>
            <w:r w:rsidR="00CC64F7" w:rsidRPr="00CC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1530 Форма 1</w:t>
            </w:r>
            <w:r w:rsidR="00CC64F7" w:rsidRPr="00CC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4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1540 Форма 1)</w:t>
            </w:r>
          </w:p>
        </w:tc>
      </w:tr>
    </w:tbl>
    <w:p w:rsidR="00B45854" w:rsidRPr="00CC64F7" w:rsidRDefault="00B45854" w:rsidP="00CC64F7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061BD8" w:rsidRPr="00CC64F7" w:rsidRDefault="00061BD8" w:rsidP="00CC64F7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CC64F7">
        <w:rPr>
          <w:rFonts w:ascii="Times New Roman" w:hAnsi="Times New Roman"/>
          <w:b w:val="0"/>
          <w:color w:val="auto"/>
          <w:sz w:val="28"/>
        </w:rPr>
        <w:t>Коэффициент финансовой независимости</w:t>
      </w:r>
    </w:p>
    <w:tbl>
      <w:tblPr>
        <w:tblW w:w="94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5382"/>
        <w:gridCol w:w="2966"/>
      </w:tblGrid>
      <w:tr w:rsidR="00061BD8" w:rsidRPr="009D33A3" w:rsidTr="009D33A3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61BD8" w:rsidRPr="009D33A3" w:rsidRDefault="00061BD8" w:rsidP="009D33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A3">
              <w:rPr>
                <w:rFonts w:ascii="Times New Roman" w:hAnsi="Times New Roman"/>
                <w:sz w:val="24"/>
                <w:szCs w:val="24"/>
              </w:rPr>
              <w:t>Kфн</w:t>
            </w:r>
            <w:proofErr w:type="spellEnd"/>
            <w:r w:rsidRPr="009D33A3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vAlign w:val="center"/>
            <w:hideMark/>
          </w:tcPr>
          <w:p w:rsidR="00061BD8" w:rsidRPr="009D33A3" w:rsidRDefault="00061BD8" w:rsidP="009D3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Fonts w:ascii="Times New Roman" w:hAnsi="Times New Roman"/>
                <w:sz w:val="24"/>
                <w:szCs w:val="24"/>
              </w:rPr>
              <w:t>Собственный капитал и резервы</w:t>
            </w:r>
          </w:p>
        </w:tc>
        <w:tc>
          <w:tcPr>
            <w:tcW w:w="0" w:type="auto"/>
            <w:vAlign w:val="center"/>
          </w:tcPr>
          <w:p w:rsidR="00061BD8" w:rsidRPr="00061BD8" w:rsidRDefault="00061BD8" w:rsidP="009D33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стр.1300 </w:t>
            </w:r>
            <w:r w:rsidRPr="009D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1</w:t>
            </w:r>
          </w:p>
        </w:tc>
      </w:tr>
      <w:tr w:rsidR="00061BD8" w:rsidRPr="009D33A3" w:rsidTr="009D33A3">
        <w:trPr>
          <w:trHeight w:val="14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1BD8" w:rsidRPr="009D33A3" w:rsidRDefault="00061BD8" w:rsidP="009D3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BD8" w:rsidRPr="009D33A3" w:rsidRDefault="00061BD8" w:rsidP="009D33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Fonts w:ascii="Times New Roman" w:hAnsi="Times New Roman"/>
                <w:sz w:val="24"/>
                <w:szCs w:val="24"/>
              </w:rPr>
              <w:t>Суммарные активы</w:t>
            </w:r>
          </w:p>
        </w:tc>
        <w:tc>
          <w:tcPr>
            <w:tcW w:w="0" w:type="auto"/>
            <w:vAlign w:val="center"/>
          </w:tcPr>
          <w:p w:rsidR="00061BD8" w:rsidRPr="00061BD8" w:rsidRDefault="00061BD8" w:rsidP="009D33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стр.1700 Форма 1</w:t>
            </w:r>
          </w:p>
        </w:tc>
      </w:tr>
    </w:tbl>
    <w:p w:rsidR="00061BD8" w:rsidRPr="00CC64F7" w:rsidRDefault="00061BD8" w:rsidP="00CC64F7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321EF0" w:rsidRPr="00346E3D" w:rsidRDefault="00321EF0" w:rsidP="00346E3D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346E3D">
        <w:rPr>
          <w:rStyle w:val="10"/>
          <w:rFonts w:ascii="Times New Roman" w:hAnsi="Times New Roman" w:cs="Times New Roman"/>
          <w:b w:val="0"/>
          <w:color w:val="auto"/>
        </w:rPr>
        <w:t>Модель Альтмана</w:t>
      </w:r>
    </w:p>
    <w:p w:rsidR="00020F3C" w:rsidRPr="00346E3D" w:rsidRDefault="00020F3C" w:rsidP="00346E3D">
      <w:pPr>
        <w:widowControl w:val="0"/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020F3C" w:rsidRPr="00346E3D" w:rsidRDefault="00020F3C" w:rsidP="00346E3D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E3D">
        <w:rPr>
          <w:rFonts w:ascii="Times New Roman" w:hAnsi="Times New Roman" w:cs="Times New Roman"/>
          <w:sz w:val="28"/>
          <w:szCs w:val="24"/>
        </w:rPr>
        <w:t xml:space="preserve">Для диагностики банкротства Г.В. Савицкая также предлагает модель Альтмана: </w:t>
      </w:r>
    </w:p>
    <w:p w:rsidR="00020F3C" w:rsidRPr="00346E3D" w:rsidRDefault="00020F3C" w:rsidP="00346E3D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E3D">
        <w:rPr>
          <w:rFonts w:ascii="Times New Roman" w:hAnsi="Times New Roman" w:cs="Times New Roman"/>
          <w:sz w:val="28"/>
          <w:szCs w:val="24"/>
        </w:rPr>
        <w:t xml:space="preserve">Z = 0,717х1 + 0,847х2 + 3,107х3 + 0,42х4 + 0,995х5, </w:t>
      </w:r>
    </w:p>
    <w:p w:rsidR="00020F3C" w:rsidRDefault="00020F3C" w:rsidP="00346E3D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6E3D">
        <w:rPr>
          <w:rFonts w:ascii="Times New Roman" w:hAnsi="Times New Roman" w:cs="Times New Roman"/>
          <w:sz w:val="28"/>
          <w:szCs w:val="24"/>
        </w:rPr>
        <w:lastRenderedPageBreak/>
        <w:t xml:space="preserve">На анализируемом предприятии величина Z-счета по модели Альтмана составляет: </w:t>
      </w:r>
    </w:p>
    <w:p w:rsidR="005E11A2" w:rsidRPr="005E11A2" w:rsidRDefault="005E11A2" w:rsidP="005E11A2">
      <w:pPr>
        <w:pStyle w:val="a9"/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 Альтмана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5618"/>
        <w:gridCol w:w="901"/>
        <w:gridCol w:w="882"/>
      </w:tblGrid>
      <w:tr w:rsidR="00020F3C" w:rsidRPr="009D33A3" w:rsidTr="00C91FD7">
        <w:trPr>
          <w:trHeight w:val="274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020F3C" w:rsidRPr="009D33A3" w:rsidRDefault="00020F3C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20F3C" w:rsidRPr="009D33A3" w:rsidRDefault="00020F3C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20F3C" w:rsidRPr="009D33A3" w:rsidRDefault="00020F3C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20F3C" w:rsidRPr="009D33A3" w:rsidRDefault="00020F3C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</w:p>
        </w:tc>
      </w:tr>
      <w:tr w:rsidR="00C91FD7" w:rsidRPr="009D33A3" w:rsidTr="00C91FD7">
        <w:trPr>
          <w:trHeight w:val="319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</w:t>
            </w:r>
          </w:p>
        </w:tc>
        <w:tc>
          <w:tcPr>
            <w:tcW w:w="0" w:type="auto"/>
            <w:shd w:val="clear" w:color="auto" w:fill="auto"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(1300-1100)/1600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C91FD7" w:rsidRPr="009D33A3" w:rsidTr="00C91FD7">
        <w:trPr>
          <w:trHeight w:val="319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X2</w:t>
            </w:r>
          </w:p>
        </w:tc>
        <w:tc>
          <w:tcPr>
            <w:tcW w:w="0" w:type="auto"/>
            <w:shd w:val="clear" w:color="auto" w:fill="auto"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Нераспр.Приб</w:t>
            </w:r>
            <w:proofErr w:type="spellEnd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9910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9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99105E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91FD7" w:rsidRPr="009D33A3" w:rsidTr="00C91FD7">
        <w:trPr>
          <w:trHeight w:val="319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</w:t>
            </w:r>
          </w:p>
        </w:tc>
        <w:tc>
          <w:tcPr>
            <w:tcW w:w="0" w:type="auto"/>
            <w:shd w:val="clear" w:color="auto" w:fill="auto"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Приб.до</w:t>
            </w:r>
            <w:proofErr w:type="spellEnd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упл.%</w:t>
            </w:r>
            <w:proofErr w:type="spellEnd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91FD7" w:rsidRPr="009D33A3" w:rsidTr="00C91FD7">
        <w:trPr>
          <w:trHeight w:val="319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</w:t>
            </w:r>
          </w:p>
        </w:tc>
        <w:tc>
          <w:tcPr>
            <w:tcW w:w="0" w:type="auto"/>
            <w:shd w:val="clear" w:color="auto" w:fill="auto"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Баланс.ст-ть</w:t>
            </w:r>
            <w:proofErr w:type="spellEnd"/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собств.кап/заёмный кап.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C91FD7" w:rsidRPr="009D33A3" w:rsidTr="00C91FD7">
        <w:trPr>
          <w:trHeight w:val="304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shd w:val="clear" w:color="auto" w:fill="auto"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Выручка/1600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C91FD7" w:rsidRPr="009D33A3" w:rsidTr="00C91FD7">
        <w:trPr>
          <w:trHeight w:val="334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9D33A3" w:rsidRDefault="00C91FD7" w:rsidP="00C91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C91FD7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9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1FD7" w:rsidRPr="00C91FD7" w:rsidRDefault="0099105E" w:rsidP="00C91F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</w:tbl>
    <w:p w:rsidR="00020F3C" w:rsidRDefault="00020F3C" w:rsidP="00346E3D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377A7" w:rsidRPr="00346E3D" w:rsidRDefault="00346E3D" w:rsidP="00346E3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E3D">
        <w:rPr>
          <w:rFonts w:ascii="Times New Roman" w:hAnsi="Times New Roman" w:cs="Times New Roman"/>
          <w:b/>
          <w:spacing w:val="-10"/>
          <w:sz w:val="28"/>
          <w:szCs w:val="28"/>
        </w:rPr>
        <w:t>Методика банковского анализа кредитоспособности предприятия</w:t>
      </w:r>
    </w:p>
    <w:p w:rsidR="00346E3D" w:rsidRPr="00346E3D" w:rsidRDefault="00346E3D" w:rsidP="00346E3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Для определения класса заемщиков необходимо рассчитать финансовые коэффициенты, наиболее часто применяемые при оценке финансового состояния заемщика. Финансово-экономические показатели разделены на четыре основные группы, отражающие различные стороны финансового состояния предприятия:</w:t>
      </w:r>
    </w:p>
    <w:p w:rsidR="00346E3D" w:rsidRPr="003070BC" w:rsidRDefault="00346E3D" w:rsidP="00346E3D">
      <w:pPr>
        <w:pStyle w:val="6"/>
        <w:numPr>
          <w:ilvl w:val="0"/>
          <w:numId w:val="13"/>
        </w:numPr>
        <w:shd w:val="clear" w:color="auto" w:fill="auto"/>
        <w:tabs>
          <w:tab w:val="left" w:pos="746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коэффициенты ликвидности;</w:t>
      </w:r>
    </w:p>
    <w:p w:rsidR="00346E3D" w:rsidRPr="003070BC" w:rsidRDefault="00346E3D" w:rsidP="00346E3D">
      <w:pPr>
        <w:pStyle w:val="6"/>
        <w:numPr>
          <w:ilvl w:val="0"/>
          <w:numId w:val="13"/>
        </w:numPr>
        <w:shd w:val="clear" w:color="auto" w:fill="auto"/>
        <w:tabs>
          <w:tab w:val="left" w:pos="746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коэффициенты финансовой устойчивости;</w:t>
      </w:r>
    </w:p>
    <w:p w:rsidR="00346E3D" w:rsidRPr="003070BC" w:rsidRDefault="00346E3D" w:rsidP="00346E3D">
      <w:pPr>
        <w:pStyle w:val="6"/>
        <w:numPr>
          <w:ilvl w:val="0"/>
          <w:numId w:val="13"/>
        </w:numPr>
        <w:shd w:val="clear" w:color="auto" w:fill="auto"/>
        <w:tabs>
          <w:tab w:val="left" w:pos="746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коэффициенты деловой активности;</w:t>
      </w:r>
    </w:p>
    <w:p w:rsidR="00346E3D" w:rsidRPr="003070BC" w:rsidRDefault="00346E3D" w:rsidP="00346E3D">
      <w:pPr>
        <w:pStyle w:val="6"/>
        <w:numPr>
          <w:ilvl w:val="0"/>
          <w:numId w:val="13"/>
        </w:numPr>
        <w:shd w:val="clear" w:color="auto" w:fill="auto"/>
        <w:tabs>
          <w:tab w:val="left" w:pos="737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коэффициенты рентабельности.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Перечень и методика расчета показателей устанавливается коммерческим банком.</w:t>
      </w:r>
    </w:p>
    <w:p w:rsidR="00346E3D" w:rsidRPr="003070BC" w:rsidRDefault="00346E3D" w:rsidP="00346E3D">
      <w:pPr>
        <w:pStyle w:val="22"/>
        <w:numPr>
          <w:ilvl w:val="0"/>
          <w:numId w:val="10"/>
        </w:numPr>
        <w:shd w:val="clear" w:color="auto" w:fill="auto"/>
        <w:tabs>
          <w:tab w:val="left" w:pos="636"/>
        </w:tabs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Показатели ликвидности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Ликвидность актива характеризует способность актива трансформироваться в денежные средства для расчетов по обязательствам. Рассчитывается три показателя: коэффициент абсолютной, быстрой и текущей ликвидности.</w: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703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абсолютной ликвидности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9" o:title=""/>
          </v:shape>
          <o:OLEObject Type="Embed" ProgID="Equation.3" ShapeID="_x0000_i1025" DrawAspect="Content" ObjectID="_1556950899" r:id="rId10"/>
        </w:object>
      </w:r>
      <w:r w:rsidRPr="003070BC">
        <w:rPr>
          <w:rFonts w:ascii="Times New Roman" w:hAnsi="Times New Roman"/>
          <w:sz w:val="28"/>
        </w:rPr>
        <w:t xml:space="preserve">,                       </w:t>
      </w:r>
      <w:r>
        <w:rPr>
          <w:rFonts w:ascii="Times New Roman" w:hAnsi="Times New Roman"/>
          <w:sz w:val="28"/>
        </w:rPr>
        <w:t xml:space="preserve">                       </w:t>
      </w:r>
      <w:r w:rsidRPr="003070BC">
        <w:rPr>
          <w:rFonts w:ascii="Times New Roman" w:hAnsi="Times New Roman"/>
          <w:sz w:val="28"/>
        </w:rPr>
        <w:t xml:space="preserve">        (3)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lastRenderedPageBreak/>
        <w:t xml:space="preserve">где </w:t>
      </w:r>
      <w:r w:rsidRPr="003070BC">
        <w:rPr>
          <w:rStyle w:val="ae"/>
          <w:rFonts w:ascii="Times New Roman" w:hAnsi="Times New Roman"/>
          <w:sz w:val="28"/>
        </w:rPr>
        <w:t>Кал</w:t>
      </w:r>
      <w:r>
        <w:rPr>
          <w:rStyle w:val="ae"/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коэффициент абсолютной ликвидности; </w:t>
      </w:r>
      <w:r w:rsidRPr="003070BC">
        <w:rPr>
          <w:rStyle w:val="ae"/>
          <w:rFonts w:ascii="Times New Roman" w:hAnsi="Times New Roman"/>
          <w:sz w:val="28"/>
        </w:rPr>
        <w:t>ДС</w:t>
      </w:r>
      <w:r>
        <w:rPr>
          <w:rStyle w:val="ae"/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денежные средства; </w:t>
      </w:r>
      <w:r w:rsidRPr="003070BC">
        <w:rPr>
          <w:rStyle w:val="ae"/>
          <w:rFonts w:ascii="Times New Roman" w:hAnsi="Times New Roman"/>
          <w:sz w:val="28"/>
        </w:rPr>
        <w:t>КФВ</w:t>
      </w:r>
      <w:r>
        <w:rPr>
          <w:rStyle w:val="ae"/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краткосрочные финансовые вложения; ТО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текущие обязательства.</w:t>
      </w:r>
    </w:p>
    <w:p w:rsidR="00346E3D" w:rsidRDefault="005A0935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2320" w:dyaOrig="620">
          <v:shape id="_x0000_i1026" type="#_x0000_t75" style="width:116.25pt;height:30.75pt" o:ole="">
            <v:imagedata r:id="rId11" o:title=""/>
          </v:shape>
          <o:OLEObject Type="Embed" ProgID="Equation.3" ShapeID="_x0000_i1026" DrawAspect="Content" ObjectID="_1556950900" r:id="rId12"/>
        </w:objec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722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быстрой (срочной) ликвидности 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tabs>
          <w:tab w:val="left" w:pos="722"/>
        </w:tabs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2400" w:dyaOrig="620">
          <v:shape id="_x0000_i1027" type="#_x0000_t75" style="width:120pt;height:30.75pt" o:ole="">
            <v:imagedata r:id="rId13" o:title=""/>
          </v:shape>
          <o:OLEObject Type="Embed" ProgID="Equation.3" ShapeID="_x0000_i1027" DrawAspect="Content" ObjectID="_1556950901" r:id="rId14"/>
        </w:object>
      </w:r>
      <w:r w:rsidRPr="003070BC">
        <w:rPr>
          <w:rFonts w:ascii="Times New Roman" w:hAnsi="Times New Roman"/>
          <w:sz w:val="28"/>
        </w:rPr>
        <w:t xml:space="preserve">,        </w:t>
      </w:r>
      <w:r>
        <w:rPr>
          <w:rFonts w:ascii="Times New Roman" w:hAnsi="Times New Roman"/>
          <w:sz w:val="28"/>
        </w:rPr>
        <w:t xml:space="preserve">             </w:t>
      </w:r>
      <w:r w:rsidRPr="003070BC">
        <w:rPr>
          <w:rFonts w:ascii="Times New Roman" w:hAnsi="Times New Roman"/>
          <w:sz w:val="28"/>
        </w:rPr>
        <w:t xml:space="preserve">                            (4)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Кбл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коэффициент быстрой ликвидности; </w:t>
      </w:r>
      <w:r w:rsidRPr="003070BC">
        <w:rPr>
          <w:rStyle w:val="ae"/>
          <w:rFonts w:ascii="Times New Roman" w:hAnsi="Times New Roman"/>
          <w:sz w:val="28"/>
        </w:rPr>
        <w:t>ДЗ</w:t>
      </w:r>
      <w:r>
        <w:rPr>
          <w:rStyle w:val="ae"/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дебиторская задолженность (до года).</w:t>
      </w:r>
    </w:p>
    <w:p w:rsidR="00346E3D" w:rsidRPr="003070BC" w:rsidRDefault="0035075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3320" w:dyaOrig="620">
          <v:shape id="_x0000_i1028" type="#_x0000_t75" style="width:166.5pt;height:30.75pt" o:ole="">
            <v:imagedata r:id="rId15" o:title=""/>
          </v:shape>
          <o:OLEObject Type="Embed" ProgID="Equation.3" ShapeID="_x0000_i1028" DrawAspect="Content" ObjectID="_1556950902" r:id="rId16"/>
        </w:objec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882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текущей ликвидности 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060" w:dyaOrig="620">
          <v:shape id="_x0000_i1029" type="#_x0000_t75" style="width:53.25pt;height:30.75pt" o:ole="">
            <v:imagedata r:id="rId17" o:title=""/>
          </v:shape>
          <o:OLEObject Type="Embed" ProgID="Equation.3" ShapeID="_x0000_i1029" DrawAspect="Content" ObjectID="_1556950903" r:id="rId18"/>
        </w:object>
      </w:r>
      <w:r w:rsidRPr="003070BC">
        <w:rPr>
          <w:rFonts w:ascii="Times New Roman" w:hAnsi="Times New Roman"/>
          <w:sz w:val="28"/>
        </w:rPr>
        <w:t xml:space="preserve">,              </w:t>
      </w:r>
      <w:r>
        <w:rPr>
          <w:rFonts w:ascii="Times New Roman" w:hAnsi="Times New Roman"/>
          <w:sz w:val="28"/>
        </w:rPr>
        <w:t xml:space="preserve">                           </w:t>
      </w:r>
      <w:r w:rsidRPr="003070BC">
        <w:rPr>
          <w:rFonts w:ascii="Times New Roman" w:hAnsi="Times New Roman"/>
          <w:sz w:val="28"/>
        </w:rPr>
        <w:t xml:space="preserve">             (5)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Ктл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коэффициент текущей ликвидности; </w:t>
      </w:r>
      <w:r w:rsidRPr="003070BC">
        <w:rPr>
          <w:rStyle w:val="ae"/>
          <w:rFonts w:ascii="Times New Roman" w:hAnsi="Times New Roman"/>
          <w:sz w:val="28"/>
        </w:rPr>
        <w:t>ОА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оборотные активы.</w:t>
      </w:r>
    </w:p>
    <w:p w:rsidR="00346E3D" w:rsidRPr="003070BC" w:rsidRDefault="0035075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2000" w:dyaOrig="620">
          <v:shape id="_x0000_i1030" type="#_x0000_t75" style="width:100.5pt;height:30.75pt" o:ole="">
            <v:imagedata r:id="rId19" o:title=""/>
          </v:shape>
          <o:OLEObject Type="Embed" ProgID="Equation.3" ShapeID="_x0000_i1030" DrawAspect="Content" ObjectID="_1556950904" r:id="rId20"/>
        </w:object>
      </w:r>
    </w:p>
    <w:p w:rsidR="00346E3D" w:rsidRPr="003070BC" w:rsidRDefault="00346E3D" w:rsidP="00346E3D">
      <w:pPr>
        <w:pStyle w:val="5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Классификация заёмщиков по коэффициентам ликвидности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87"/>
        <w:gridCol w:w="1469"/>
        <w:gridCol w:w="1330"/>
        <w:gridCol w:w="1310"/>
      </w:tblGrid>
      <w:tr w:rsidR="00346E3D" w:rsidRPr="00D61ECD" w:rsidTr="00346E3D">
        <w:trPr>
          <w:jc w:val="center"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Рекомендуемые значения по классам</w:t>
            </w:r>
          </w:p>
        </w:tc>
      </w:tr>
      <w:tr w:rsidR="00346E3D" w:rsidRPr="00D61ECD" w:rsidTr="00346E3D">
        <w:trPr>
          <w:jc w:val="center"/>
        </w:trPr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46E3D" w:rsidRPr="00D61ECD" w:rsidTr="00346E3D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31" type="#_x0000_t75" style="width:9.75pt;height:9.75pt" o:ole="">
                  <v:imagedata r:id="rId21" o:title=""/>
                </v:shape>
                <o:OLEObject Type="Embed" ProgID="Equation.3" ShapeID="_x0000_i1031" DrawAspect="Content" ObjectID="_1556950905" r:id="rId22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&lt;1</w:t>
            </w:r>
          </w:p>
        </w:tc>
      </w:tr>
      <w:tr w:rsidR="00346E3D" w:rsidRPr="00D61ECD" w:rsidTr="00346E3D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&gt;0,9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0,5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32" type="#_x0000_t75" style="width:9.75pt;height:9.75pt" o:ole="">
                  <v:imagedata r:id="rId21" o:title=""/>
                </v:shape>
                <o:OLEObject Type="Embed" ProgID="Equation.3" ShapeID="_x0000_i1032" DrawAspect="Content" ObjectID="_1556950906" r:id="rId23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&lt;0,5</w:t>
            </w:r>
          </w:p>
        </w:tc>
      </w:tr>
      <w:tr w:rsidR="00346E3D" w:rsidRPr="00D61ECD" w:rsidTr="00346E3D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&gt;0,2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33" type="#_x0000_t75" style="width:9.75pt;height:9.75pt" o:ole="">
                  <v:imagedata r:id="rId21" o:title=""/>
                </v:shape>
                <o:OLEObject Type="Embed" ProgID="Equation.3" ShapeID="_x0000_i1033" DrawAspect="Content" ObjectID="_1556950907" r:id="rId24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&lt;0,1</w:t>
            </w:r>
          </w:p>
        </w:tc>
      </w:tr>
    </w:tbl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</w:p>
    <w:p w:rsidR="00346E3D" w:rsidRPr="003070BC" w:rsidRDefault="00346E3D" w:rsidP="00346E3D">
      <w:pPr>
        <w:pStyle w:val="22"/>
        <w:numPr>
          <w:ilvl w:val="0"/>
          <w:numId w:val="10"/>
        </w:numPr>
        <w:shd w:val="clear" w:color="auto" w:fill="auto"/>
        <w:tabs>
          <w:tab w:val="left" w:pos="868"/>
        </w:tabs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Показатели финансовой устойчивости.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Финансовая устойчивость предприятия характеризует независимость предприятий от внешних и краткосрочных источников финансирования. Показатели финансовой устойчивости отражают структуру активов и пассивов, их соотношения. Рассчитывается четыре показателя: коэффициент обеспеченности собственными оборотными средствами, коэффициент концентрации собственного капитала, финансовый </w:t>
      </w:r>
      <w:proofErr w:type="spellStart"/>
      <w:r w:rsidRPr="003070BC">
        <w:rPr>
          <w:rFonts w:ascii="Times New Roman" w:hAnsi="Times New Roman"/>
          <w:sz w:val="28"/>
        </w:rPr>
        <w:t>леверидж</w:t>
      </w:r>
      <w:proofErr w:type="spellEnd"/>
      <w:r w:rsidRPr="003070BC">
        <w:rPr>
          <w:rFonts w:ascii="Times New Roman" w:hAnsi="Times New Roman"/>
          <w:sz w:val="28"/>
        </w:rPr>
        <w:t>, коэффициент соотношения дебиторской и кредиторской задолженностей.</w: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1086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lastRenderedPageBreak/>
        <w:t>Коэффициент обеспеченности собственными оборотными средствами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780" w:dyaOrig="620">
          <v:shape id="_x0000_i1034" type="#_x0000_t75" style="width:89.25pt;height:30.75pt" o:ole="">
            <v:imagedata r:id="rId25" o:title=""/>
          </v:shape>
          <o:OLEObject Type="Embed" ProgID="Equation.3" ShapeID="_x0000_i1034" DrawAspect="Content" ObjectID="_1556950908" r:id="rId26"/>
        </w:object>
      </w:r>
      <w:r w:rsidRPr="003070BC">
        <w:rPr>
          <w:rFonts w:ascii="Times New Roman" w:hAnsi="Times New Roman"/>
          <w:sz w:val="28"/>
        </w:rPr>
        <w:t xml:space="preserve">,                   </w:t>
      </w:r>
      <w:r>
        <w:rPr>
          <w:rFonts w:ascii="Times New Roman" w:hAnsi="Times New Roman"/>
          <w:sz w:val="28"/>
        </w:rPr>
        <w:t xml:space="preserve">                    </w:t>
      </w:r>
      <w:r w:rsidRPr="003070BC">
        <w:rPr>
          <w:rFonts w:ascii="Times New Roman" w:hAnsi="Times New Roman"/>
          <w:sz w:val="28"/>
        </w:rPr>
        <w:t xml:space="preserve">          (6)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Style w:val="ae"/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собственный капитал; </w:t>
      </w:r>
      <w:r w:rsidRPr="003070BC">
        <w:rPr>
          <w:rStyle w:val="ae"/>
          <w:rFonts w:ascii="Times New Roman" w:hAnsi="Times New Roman"/>
          <w:sz w:val="28"/>
        </w:rPr>
        <w:t>ВНА</w:t>
      </w:r>
      <w:r>
        <w:rPr>
          <w:rFonts w:ascii="Times New Roman" w:hAnsi="Times New Roman"/>
          <w:sz w:val="28"/>
        </w:rPr>
        <w:t xml:space="preserve"> – </w:t>
      </w:r>
      <w:proofErr w:type="spellStart"/>
      <w:r w:rsidRPr="003070BC">
        <w:rPr>
          <w:rFonts w:ascii="Times New Roman" w:hAnsi="Times New Roman"/>
          <w:sz w:val="28"/>
        </w:rPr>
        <w:t>внеоборотные</w:t>
      </w:r>
      <w:proofErr w:type="spellEnd"/>
      <w:r w:rsidRPr="003070BC">
        <w:rPr>
          <w:rFonts w:ascii="Times New Roman" w:hAnsi="Times New Roman"/>
          <w:sz w:val="28"/>
        </w:rPr>
        <w:t xml:space="preserve"> активы.</w:t>
      </w:r>
    </w:p>
    <w:p w:rsidR="00346E3D" w:rsidRPr="003070BC" w:rsidRDefault="0035075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3220" w:dyaOrig="620">
          <v:shape id="_x0000_i1035" type="#_x0000_t75" style="width:162pt;height:30.75pt" o:ole="">
            <v:imagedata r:id="rId27" o:title=""/>
          </v:shape>
          <o:OLEObject Type="Embed" ProgID="Equation.3" ShapeID="_x0000_i1035" DrawAspect="Content" ObjectID="_1556950909" r:id="rId28"/>
        </w:objec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концентрации собственного капитала (финансовой независимости)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20" w:dyaOrig="620">
          <v:shape id="_x0000_i1036" type="#_x0000_t75" style="width:56.25pt;height:30.75pt" o:ole="">
            <v:imagedata r:id="rId29" o:title=""/>
          </v:shape>
          <o:OLEObject Type="Embed" ProgID="Equation.3" ShapeID="_x0000_i1036" DrawAspect="Content" ObjectID="_1556950910" r:id="rId30"/>
        </w:object>
      </w:r>
      <w:r w:rsidRPr="003070BC">
        <w:rPr>
          <w:rFonts w:ascii="Times New Roman" w:hAnsi="Times New Roman"/>
          <w:sz w:val="28"/>
        </w:rPr>
        <w:t xml:space="preserve">,      </w:t>
      </w:r>
      <w:r>
        <w:rPr>
          <w:rFonts w:ascii="Times New Roman" w:hAnsi="Times New Roman"/>
          <w:sz w:val="28"/>
        </w:rPr>
        <w:t xml:space="preserve">                                </w:t>
      </w:r>
      <w:r w:rsidRPr="003070BC">
        <w:rPr>
          <w:rFonts w:ascii="Times New Roman" w:hAnsi="Times New Roman"/>
          <w:sz w:val="28"/>
        </w:rPr>
        <w:t xml:space="preserve">                 (7)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Style w:val="ae"/>
          <w:rFonts w:ascii="Times New Roman" w:hAnsi="Times New Roman"/>
          <w:sz w:val="28"/>
        </w:rPr>
        <w:t>КСК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коэффициент концентрации собственного капитала; ВБ- валюта баланса.</w:t>
      </w:r>
    </w:p>
    <w:p w:rsidR="00346E3D" w:rsidRPr="003070BC" w:rsidRDefault="0035075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2280" w:dyaOrig="620">
          <v:shape id="_x0000_i1037" type="#_x0000_t75" style="width:114.75pt;height:30.75pt" o:ole="">
            <v:imagedata r:id="rId31" o:title=""/>
          </v:shape>
          <o:OLEObject Type="Embed" ProgID="Equation.3" ShapeID="_x0000_i1037" DrawAspect="Content" ObjectID="_1556950911" r:id="rId32"/>
        </w:objec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Финансовый рычаг (</w:t>
      </w:r>
      <w:proofErr w:type="spellStart"/>
      <w:r w:rsidRPr="003070BC">
        <w:rPr>
          <w:rFonts w:ascii="Times New Roman" w:hAnsi="Times New Roman"/>
          <w:sz w:val="28"/>
        </w:rPr>
        <w:t>леверидж</w:t>
      </w:r>
      <w:proofErr w:type="spellEnd"/>
      <w:r w:rsidRPr="003070BC">
        <w:rPr>
          <w:rFonts w:ascii="Times New Roman" w:hAnsi="Times New Roman"/>
          <w:sz w:val="28"/>
        </w:rPr>
        <w:t>)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00" w:dyaOrig="620">
          <v:shape id="_x0000_i1038" type="#_x0000_t75" style="width:54.75pt;height:30.75pt" o:ole="">
            <v:imagedata r:id="rId33" o:title=""/>
          </v:shape>
          <o:OLEObject Type="Embed" ProgID="Equation.3" ShapeID="_x0000_i1038" DrawAspect="Content" ObjectID="_1556950912" r:id="rId34"/>
        </w:object>
      </w:r>
      <w:r w:rsidRPr="003070BC">
        <w:rPr>
          <w:rFonts w:ascii="Times New Roman" w:hAnsi="Times New Roman"/>
          <w:sz w:val="28"/>
        </w:rPr>
        <w:t xml:space="preserve">,           </w:t>
      </w:r>
      <w:r>
        <w:rPr>
          <w:rFonts w:ascii="Times New Roman" w:hAnsi="Times New Roman"/>
          <w:sz w:val="28"/>
        </w:rPr>
        <w:t xml:space="preserve">                             </w:t>
      </w:r>
      <w:r w:rsidRPr="003070BC">
        <w:rPr>
          <w:rFonts w:ascii="Times New Roman" w:hAnsi="Times New Roman"/>
          <w:sz w:val="28"/>
        </w:rPr>
        <w:t xml:space="preserve">             (8)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Кфр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финансовый рычаг; </w:t>
      </w:r>
      <w:r w:rsidRPr="003070BC">
        <w:rPr>
          <w:rStyle w:val="ae"/>
          <w:rFonts w:ascii="Times New Roman" w:hAnsi="Times New Roman"/>
          <w:sz w:val="28"/>
        </w:rPr>
        <w:t>ЗК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заемный капитал (долгосрочные заимствования.</w:t>
      </w:r>
    </w:p>
    <w:p w:rsidR="00346E3D" w:rsidRPr="003070BC" w:rsidRDefault="0035075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2220" w:dyaOrig="620">
          <v:shape id="_x0000_i1039" type="#_x0000_t75" style="width:110.25pt;height:30.75pt" o:ole="">
            <v:imagedata r:id="rId35" o:title=""/>
          </v:shape>
          <o:OLEObject Type="Embed" ProgID="Equation.3" ShapeID="_x0000_i1039" DrawAspect="Content" ObjectID="_1556950913" r:id="rId36"/>
        </w:objec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951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соотношения дебиторской и кредиторской задолженности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040" w:dyaOrig="620">
          <v:shape id="_x0000_i1040" type="#_x0000_t75" style="width:51.75pt;height:30.75pt" o:ole="">
            <v:imagedata r:id="rId37" o:title=""/>
          </v:shape>
          <o:OLEObject Type="Embed" ProgID="Equation.3" ShapeID="_x0000_i1040" DrawAspect="Content" ObjectID="_1556950914" r:id="rId38"/>
        </w:object>
      </w:r>
      <w:r w:rsidRPr="003070BC">
        <w:rPr>
          <w:rFonts w:ascii="Times New Roman" w:hAnsi="Times New Roman"/>
          <w:sz w:val="28"/>
        </w:rPr>
        <w:t xml:space="preserve">,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3070BC">
        <w:rPr>
          <w:rFonts w:ascii="Times New Roman" w:hAnsi="Times New Roman"/>
          <w:sz w:val="28"/>
        </w:rPr>
        <w:t xml:space="preserve">               (9)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Кдк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коэффициент соотношения кредиторской и дебиторской задолженности; </w:t>
      </w:r>
      <w:r w:rsidRPr="003070BC">
        <w:rPr>
          <w:rStyle w:val="ae"/>
          <w:rFonts w:ascii="Times New Roman" w:hAnsi="Times New Roman"/>
          <w:sz w:val="28"/>
        </w:rPr>
        <w:t>ДЗ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сумма дебиторской задолженности; </w:t>
      </w:r>
      <w:r w:rsidRPr="003070BC">
        <w:rPr>
          <w:rStyle w:val="ae"/>
          <w:rFonts w:ascii="Times New Roman" w:hAnsi="Times New Roman"/>
          <w:sz w:val="28"/>
        </w:rPr>
        <w:t>КЗ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кредиторская </w:t>
      </w:r>
      <w:r w:rsidRPr="003070BC">
        <w:rPr>
          <w:rFonts w:ascii="Times New Roman" w:hAnsi="Times New Roman"/>
          <w:sz w:val="28"/>
        </w:rPr>
        <w:lastRenderedPageBreak/>
        <w:t>задолженность.</w:t>
      </w:r>
    </w:p>
    <w:p w:rsidR="00346E3D" w:rsidRPr="003070BC" w:rsidRDefault="00BC1A8C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A5A92">
        <w:rPr>
          <w:rFonts w:ascii="Times New Roman" w:hAnsi="Times New Roman"/>
          <w:position w:val="-24"/>
          <w:sz w:val="28"/>
        </w:rPr>
        <w:object w:dxaOrig="1900" w:dyaOrig="620">
          <v:shape id="_x0000_i1041" type="#_x0000_t75" style="width:94.5pt;height:30.75pt" o:ole="">
            <v:imagedata r:id="rId39" o:title=""/>
          </v:shape>
          <o:OLEObject Type="Embed" ProgID="Equation.3" ShapeID="_x0000_i1041" DrawAspect="Content" ObjectID="_1556950915" r:id="rId40"/>
        </w:object>
      </w:r>
    </w:p>
    <w:p w:rsidR="00346E3D" w:rsidRPr="003070BC" w:rsidRDefault="00346E3D" w:rsidP="00346E3D">
      <w:pPr>
        <w:pStyle w:val="22"/>
        <w:shd w:val="clear" w:color="auto" w:fill="auto"/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Классификация заёмщиков по коэффициентам финансовой устойчивости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74"/>
        <w:gridCol w:w="1619"/>
        <w:gridCol w:w="1630"/>
        <w:gridCol w:w="1635"/>
      </w:tblGrid>
      <w:tr w:rsidR="00346E3D" w:rsidRPr="009D33A3" w:rsidTr="009D33A3"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Рекомендуемые значения по классам</w:t>
            </w:r>
          </w:p>
        </w:tc>
      </w:tr>
      <w:tr w:rsidR="00346E3D" w:rsidRPr="009D33A3" w:rsidTr="009D33A3">
        <w:tc>
          <w:tcPr>
            <w:tcW w:w="4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46E3D" w:rsidRPr="009D33A3" w:rsidTr="009D33A3"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&gt;20%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42" type="#_x0000_t75" style="width:9.75pt;height:9.75pt" o:ole="">
                  <v:imagedata r:id="rId21" o:title=""/>
                </v:shape>
                <o:OLEObject Type="Embed" ProgID="Equation.3" ShapeID="_x0000_i1042" DrawAspect="Content" ObjectID="_1556950916" r:id="rId41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&lt;0%</w:t>
            </w:r>
          </w:p>
        </w:tc>
      </w:tr>
      <w:tr w:rsidR="00346E3D" w:rsidRPr="009D33A3" w:rsidTr="009D33A3"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концентрации собственного капитала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0,4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43" type="#_x0000_t75" style="width:9.75pt;height:9.75pt" o:ole="">
                  <v:imagedata r:id="rId21" o:title=""/>
                </v:shape>
                <o:OLEObject Type="Embed" ProgID="Equation.3" ShapeID="_x0000_i1043" DrawAspect="Content" ObjectID="_1556950917" r:id="rId42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&lt;0,4</w:t>
            </w:r>
          </w:p>
        </w:tc>
      </w:tr>
      <w:tr w:rsidR="00346E3D" w:rsidRPr="009D33A3" w:rsidTr="009D33A3"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Финансовый </w:t>
            </w:r>
            <w:proofErr w:type="spellStart"/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леверидж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44" type="#_x0000_t75" style="width:9.75pt;height:9.75pt" o:ole="">
                  <v:imagedata r:id="rId21" o:title=""/>
                </v:shape>
                <o:OLEObject Type="Embed" ProgID="Equation.3" ShapeID="_x0000_i1044" DrawAspect="Content" ObjectID="_1556950918" r:id="rId43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20%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45" type="#_x0000_t75" style="width:9.75pt;height:9.75pt" o:ole="">
                  <v:imagedata r:id="rId21" o:title=""/>
                </v:shape>
                <o:OLEObject Type="Embed" ProgID="Equation.3" ShapeID="_x0000_i1045" DrawAspect="Content" ObjectID="_1556950919" r:id="rId44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&gt;80%</w:t>
            </w:r>
          </w:p>
        </w:tc>
      </w:tr>
      <w:tr w:rsidR="00346E3D" w:rsidRPr="009D33A3" w:rsidTr="009D33A3"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соотношения кредиторской и дебиторской задолженности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0,5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46" type="#_x0000_t75" style="width:9.75pt;height:9.75pt" o:ole="">
                  <v:imagedata r:id="rId21" o:title=""/>
                </v:shape>
                <o:OLEObject Type="Embed" ProgID="Equation.3" ShapeID="_x0000_i1046" DrawAspect="Content" ObjectID="_1556950920" r:id="rId45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&lt;0,5</w:t>
            </w:r>
          </w:p>
        </w:tc>
      </w:tr>
    </w:tbl>
    <w:p w:rsidR="00346E3D" w:rsidRPr="003070BC" w:rsidRDefault="00346E3D" w:rsidP="00346E3D">
      <w:pPr>
        <w:pStyle w:val="22"/>
        <w:shd w:val="clear" w:color="auto" w:fill="auto"/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</w:p>
    <w:p w:rsidR="00346E3D" w:rsidRPr="003070BC" w:rsidRDefault="00346E3D" w:rsidP="00346E3D">
      <w:pPr>
        <w:pStyle w:val="22"/>
        <w:numPr>
          <w:ilvl w:val="0"/>
          <w:numId w:val="10"/>
        </w:numPr>
        <w:shd w:val="clear" w:color="auto" w:fill="auto"/>
        <w:tabs>
          <w:tab w:val="left" w:pos="780"/>
        </w:tabs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Показатели деловой активности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Деловая активность предприятия проявляется в интенсивности использования отдельных активов и источников средств.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четыре показателя: показатель фондоотдачи, материалоемкость, коэффициент оборота собственного капитала, оборачиваемость кредиторской задолженности.</w:t>
      </w:r>
    </w:p>
    <w:p w:rsidR="00346E3D" w:rsidRPr="003070BC" w:rsidRDefault="00346E3D" w:rsidP="00346E3D">
      <w:pPr>
        <w:pStyle w:val="6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Фондоотдача (коэффициент оборота основных средств)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BC1A8C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32"/>
          <w:sz w:val="28"/>
        </w:rPr>
        <w:object w:dxaOrig="960" w:dyaOrig="700">
          <v:shape id="_x0000_i1047" type="#_x0000_t75" style="width:48pt;height:34.5pt" o:ole="">
            <v:imagedata r:id="rId46" o:title=""/>
          </v:shape>
          <o:OLEObject Type="Embed" ProgID="Equation.3" ShapeID="_x0000_i1047" DrawAspect="Content" ObjectID="_1556950921" r:id="rId47"/>
        </w:object>
      </w:r>
      <w:r w:rsidR="00346E3D" w:rsidRPr="003070BC">
        <w:rPr>
          <w:rFonts w:ascii="Times New Roman" w:hAnsi="Times New Roman"/>
          <w:sz w:val="28"/>
        </w:rPr>
        <w:t xml:space="preserve">,                   </w:t>
      </w:r>
      <w:r w:rsidR="00346E3D">
        <w:rPr>
          <w:rFonts w:ascii="Times New Roman" w:hAnsi="Times New Roman"/>
          <w:sz w:val="28"/>
        </w:rPr>
        <w:t xml:space="preserve">                         </w:t>
      </w:r>
      <w:r w:rsidR="00346E3D" w:rsidRPr="003070BC">
        <w:rPr>
          <w:rFonts w:ascii="Times New Roman" w:hAnsi="Times New Roman"/>
          <w:sz w:val="28"/>
        </w:rPr>
        <w:t xml:space="preserve">         (10)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где Ф0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фондоотдача; </w:t>
      </w:r>
      <w:r w:rsidRPr="003070BC">
        <w:rPr>
          <w:rStyle w:val="ae"/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– </w:t>
      </w:r>
      <w:r w:rsidR="00BC1A8C">
        <w:rPr>
          <w:rFonts w:ascii="Times New Roman" w:hAnsi="Times New Roman"/>
          <w:sz w:val="28"/>
        </w:rPr>
        <w:t>выручка;</w:t>
      </w:r>
      <w:r w:rsidRPr="003070BC">
        <w:rPr>
          <w:rFonts w:ascii="Times New Roman" w:hAnsi="Times New Roman"/>
          <w:sz w:val="28"/>
        </w:rPr>
        <w:t xml:space="preserve"> </w:t>
      </w:r>
      <w:r w:rsidRPr="003070BC">
        <w:rPr>
          <w:rFonts w:ascii="Times New Roman" w:hAnsi="Times New Roman"/>
          <w:sz w:val="28"/>
          <w:lang w:val="en-US"/>
        </w:rPr>
        <w:t>S</w:t>
      </w:r>
      <w:r w:rsidRPr="003070BC"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средняя стоимость основных средств:</w:t>
      </w:r>
    </w:p>
    <w:p w:rsidR="00346E3D" w:rsidRPr="003070BC" w:rsidRDefault="00BC1A8C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14"/>
          <w:sz w:val="28"/>
        </w:rPr>
        <w:object w:dxaOrig="2220" w:dyaOrig="380">
          <v:shape id="_x0000_i1048" type="#_x0000_t75" style="width:111pt;height:18.75pt" o:ole="">
            <v:imagedata r:id="rId48" o:title=""/>
          </v:shape>
          <o:OLEObject Type="Embed" ProgID="Equation.3" ShapeID="_x0000_i1048" DrawAspect="Content" ObjectID="_1556950922" r:id="rId49"/>
        </w:object>
      </w:r>
      <w:r w:rsidR="00346E3D" w:rsidRPr="003070BC">
        <w:rPr>
          <w:rFonts w:ascii="Times New Roman" w:hAnsi="Times New Roman"/>
          <w:sz w:val="28"/>
        </w:rPr>
        <w:t xml:space="preserve">,            </w:t>
      </w:r>
      <w:r w:rsidR="00346E3D">
        <w:rPr>
          <w:rFonts w:ascii="Times New Roman" w:hAnsi="Times New Roman"/>
          <w:sz w:val="28"/>
        </w:rPr>
        <w:t xml:space="preserve">  </w:t>
      </w:r>
      <w:r w:rsidR="00346E3D" w:rsidRPr="003070BC">
        <w:rPr>
          <w:rFonts w:ascii="Times New Roman" w:hAnsi="Times New Roman"/>
          <w:sz w:val="28"/>
        </w:rPr>
        <w:t xml:space="preserve">     </w:t>
      </w:r>
      <w:r w:rsidR="00346E3D">
        <w:rPr>
          <w:rFonts w:ascii="Times New Roman" w:hAnsi="Times New Roman"/>
          <w:sz w:val="28"/>
        </w:rPr>
        <w:t xml:space="preserve">             </w:t>
      </w:r>
      <w:r w:rsidR="00346E3D" w:rsidRPr="003070BC">
        <w:rPr>
          <w:rFonts w:ascii="Times New Roman" w:hAnsi="Times New Roman"/>
          <w:sz w:val="28"/>
        </w:rPr>
        <w:t xml:space="preserve">            (11)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Fonts w:ascii="Times New Roman" w:hAnsi="Times New Roman"/>
          <w:sz w:val="28"/>
          <w:lang w:val="en-US"/>
        </w:rPr>
        <w:t>S</w:t>
      </w:r>
      <w:proofErr w:type="spellStart"/>
      <w:r w:rsidRPr="003070BC">
        <w:rPr>
          <w:rFonts w:ascii="Times New Roman" w:hAnsi="Times New Roman"/>
          <w:sz w:val="28"/>
        </w:rPr>
        <w:t>нг</w:t>
      </w:r>
      <w:proofErr w:type="spellEnd"/>
      <w:r w:rsidRPr="003070BC">
        <w:rPr>
          <w:rFonts w:ascii="Times New Roman" w:hAnsi="Times New Roman"/>
          <w:sz w:val="28"/>
        </w:rPr>
        <w:t>(кг)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стоимость основных средств на начало (конец) года.</w:t>
      </w:r>
    </w:p>
    <w:p w:rsidR="00346E3D" w:rsidRDefault="00C91FD7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28"/>
          <w:sz w:val="28"/>
        </w:rPr>
        <w:object w:dxaOrig="3240" w:dyaOrig="660">
          <v:shape id="_x0000_i1049" type="#_x0000_t75" style="width:162pt;height:33pt" o:ole="">
            <v:imagedata r:id="rId50" o:title=""/>
          </v:shape>
          <o:OLEObject Type="Embed" ProgID="Equation.3" ShapeID="_x0000_i1049" DrawAspect="Content" ObjectID="_1556950923" r:id="rId51"/>
        </w:objec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Показатель фондоотдачи зависит от типа организации и ее размера. К среднему бизнесу в России условно можно отнести предприятия с годовым оборотом от 30 до 60 млн. руб. Рекомендуемые значения приведены в </w:t>
      </w:r>
      <w:r w:rsidRPr="003070BC">
        <w:rPr>
          <w:rFonts w:ascii="Times New Roman" w:hAnsi="Times New Roman"/>
          <w:sz w:val="28"/>
        </w:rPr>
        <w:lastRenderedPageBreak/>
        <w:t xml:space="preserve">таблице 4. Для </w:t>
      </w:r>
      <w:proofErr w:type="spellStart"/>
      <w:r w:rsidRPr="003070BC">
        <w:rPr>
          <w:rFonts w:ascii="Times New Roman" w:hAnsi="Times New Roman"/>
          <w:sz w:val="28"/>
        </w:rPr>
        <w:t>материалоёмких</w:t>
      </w:r>
      <w:proofErr w:type="spellEnd"/>
      <w:r w:rsidRPr="003070BC">
        <w:rPr>
          <w:rFonts w:ascii="Times New Roman" w:hAnsi="Times New Roman"/>
          <w:sz w:val="28"/>
        </w:rPr>
        <w:t xml:space="preserve"> предприятий рекомендуется увеличить значения показателей в 4 раза, для трудоемких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в 10 раз. </w:t>
      </w:r>
    </w:p>
    <w:p w:rsidR="00346E3D" w:rsidRPr="003070BC" w:rsidRDefault="00346E3D" w:rsidP="00346E3D">
      <w:pPr>
        <w:pStyle w:val="2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Классификация заемщиков по показателю фондоотдачи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7"/>
        <w:gridCol w:w="1721"/>
        <w:gridCol w:w="1716"/>
        <w:gridCol w:w="1731"/>
      </w:tblGrid>
      <w:tr w:rsidR="00346E3D" w:rsidRPr="009D33A3" w:rsidTr="009D33A3"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Размеры бизнеса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Рекомендуемые значения по классам</w:t>
            </w:r>
          </w:p>
        </w:tc>
      </w:tr>
      <w:tr w:rsidR="00346E3D" w:rsidRPr="009D33A3" w:rsidTr="009D33A3">
        <w:tc>
          <w:tcPr>
            <w:tcW w:w="42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46E3D" w:rsidRPr="009D33A3" w:rsidTr="009D33A3"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Крупный бизнес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499" w:dyaOrig="279">
                <v:shape id="_x0000_i1050" type="#_x0000_t75" style="width:24.75pt;height:14.25pt" o:ole="">
                  <v:imagedata r:id="rId52" o:title=""/>
                </v:shape>
                <o:OLEObject Type="Embed" ProgID="Equation.3" ShapeID="_x0000_i1050" DrawAspect="Content" ObjectID="_1556950924" r:id="rId53"/>
              </w:objec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&lt;1</w:t>
            </w:r>
          </w:p>
        </w:tc>
      </w:tr>
      <w:tr w:rsidR="00346E3D" w:rsidRPr="009D33A3" w:rsidTr="009D33A3"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Средний бизнес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540" w:dyaOrig="279">
                <v:shape id="_x0000_i1051" type="#_x0000_t75" style="width:27pt;height:14.25pt" o:ole="">
                  <v:imagedata r:id="rId54" o:title=""/>
                </v:shape>
                <o:OLEObject Type="Embed" ProgID="Equation.3" ShapeID="_x0000_i1051" DrawAspect="Content" ObjectID="_1556950925" r:id="rId55"/>
              </w:objec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&lt;4</w:t>
            </w:r>
          </w:p>
        </w:tc>
      </w:tr>
      <w:tr w:rsidR="00346E3D" w:rsidRPr="009D33A3" w:rsidTr="009D33A3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560" w:dyaOrig="260">
                <v:shape id="_x0000_i1052" type="#_x0000_t75" style="width:27.75pt;height:12.75pt" o:ole="">
                  <v:imagedata r:id="rId56" o:title=""/>
                </v:shape>
                <o:OLEObject Type="Embed" ProgID="Equation.3" ShapeID="_x0000_i1052" DrawAspect="Content" ObjectID="_1556950926" r:id="rId57"/>
              </w:objec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&lt;2</w:t>
            </w:r>
          </w:p>
        </w:tc>
      </w:tr>
    </w:tbl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</w:p>
    <w:p w:rsidR="00346E3D" w:rsidRPr="003070BC" w:rsidRDefault="00346E3D" w:rsidP="00346E3D">
      <w:pPr>
        <w:pStyle w:val="ab"/>
        <w:numPr>
          <w:ilvl w:val="0"/>
          <w:numId w:val="11"/>
        </w:numPr>
        <w:shd w:val="clear" w:color="auto" w:fill="auto"/>
        <w:tabs>
          <w:tab w:val="left" w:pos="8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Материалоемкость </w:t>
      </w:r>
    </w:p>
    <w:p w:rsidR="00346E3D" w:rsidRPr="003070BC" w:rsidRDefault="00346E3D" w:rsidP="00346E3D">
      <w:pPr>
        <w:pStyle w:val="ab"/>
        <w:shd w:val="clear" w:color="auto" w:fill="auto"/>
        <w:tabs>
          <w:tab w:val="left" w:pos="8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ab"/>
        <w:shd w:val="clear" w:color="auto" w:fill="auto"/>
        <w:tabs>
          <w:tab w:val="left" w:pos="842"/>
        </w:tabs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960" w:dyaOrig="700">
          <v:shape id="_x0000_i1053" type="#_x0000_t75" style="width:48pt;height:35.25pt" o:ole="">
            <v:imagedata r:id="rId58" o:title=""/>
          </v:shape>
          <o:OLEObject Type="Embed" ProgID="Equation.3" ShapeID="_x0000_i1053" DrawAspect="Content" ObjectID="_1556950927" r:id="rId59"/>
        </w:object>
      </w:r>
      <w:r w:rsidRPr="003070BC">
        <w:rPr>
          <w:rFonts w:ascii="Times New Roman" w:hAnsi="Times New Roman"/>
          <w:sz w:val="28"/>
        </w:rPr>
        <w:t xml:space="preserve">,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3070BC">
        <w:rPr>
          <w:rFonts w:ascii="Times New Roman" w:hAnsi="Times New Roman"/>
          <w:sz w:val="28"/>
        </w:rPr>
        <w:t xml:space="preserve">             (12)</w:t>
      </w:r>
    </w:p>
    <w:p w:rsidR="00346E3D" w:rsidRDefault="00346E3D" w:rsidP="00346E3D">
      <w:pPr>
        <w:pStyle w:val="ab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Style w:val="ac"/>
          <w:rFonts w:ascii="Times New Roman" w:hAnsi="Times New Roman"/>
          <w:i w:val="0"/>
          <w:sz w:val="28"/>
        </w:rPr>
        <w:t>Км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материалоемкость; </w:t>
      </w:r>
      <w:proofErr w:type="spellStart"/>
      <w:r w:rsidRPr="003070BC">
        <w:rPr>
          <w:rStyle w:val="ac"/>
          <w:rFonts w:ascii="Times New Roman" w:hAnsi="Times New Roman"/>
          <w:i w:val="0"/>
          <w:sz w:val="28"/>
        </w:rPr>
        <w:t>Зм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материальные запасы; </w:t>
      </w:r>
      <w:proofErr w:type="spellStart"/>
      <w:r w:rsidRPr="003070BC">
        <w:rPr>
          <w:rStyle w:val="ac"/>
          <w:rFonts w:ascii="Times New Roman" w:hAnsi="Times New Roman"/>
          <w:i w:val="0"/>
          <w:sz w:val="28"/>
        </w:rPr>
        <w:t>Сс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себестоимость продукции.</w:t>
      </w:r>
    </w:p>
    <w:p w:rsidR="00346E3D" w:rsidRPr="003070BC" w:rsidRDefault="00BC1A8C" w:rsidP="00346E3D">
      <w:pPr>
        <w:pStyle w:val="ab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28"/>
          <w:sz w:val="28"/>
        </w:rPr>
        <w:object w:dxaOrig="2439" w:dyaOrig="660">
          <v:shape id="_x0000_i1054" type="#_x0000_t75" style="width:121.5pt;height:33.75pt" o:ole="">
            <v:imagedata r:id="rId60" o:title=""/>
          </v:shape>
          <o:OLEObject Type="Embed" ProgID="Equation.3" ShapeID="_x0000_i1054" DrawAspect="Content" ObjectID="_1556950928" r:id="rId61"/>
        </w:object>
      </w:r>
    </w:p>
    <w:p w:rsidR="00346E3D" w:rsidRPr="003070BC" w:rsidRDefault="00346E3D" w:rsidP="00346E3D">
      <w:pPr>
        <w:pStyle w:val="ab"/>
        <w:numPr>
          <w:ilvl w:val="0"/>
          <w:numId w:val="11"/>
        </w:numPr>
        <w:shd w:val="clear" w:color="auto" w:fill="auto"/>
        <w:tabs>
          <w:tab w:val="left" w:pos="10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Коэффициент оборота собственного капитала</w:t>
      </w:r>
    </w:p>
    <w:p w:rsidR="00346E3D" w:rsidRPr="003070BC" w:rsidRDefault="00346E3D" w:rsidP="00346E3D">
      <w:pPr>
        <w:pStyle w:val="ab"/>
        <w:shd w:val="clear" w:color="auto" w:fill="auto"/>
        <w:tabs>
          <w:tab w:val="left" w:pos="8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b/>
          <w:sz w:val="28"/>
        </w:rPr>
        <w:object w:dxaOrig="1120" w:dyaOrig="620">
          <v:shape id="_x0000_i1055" type="#_x0000_t75" style="width:56.25pt;height:30.75pt" o:ole="">
            <v:imagedata r:id="rId62" o:title=""/>
          </v:shape>
          <o:OLEObject Type="Embed" ProgID="Equation.3" ShapeID="_x0000_i1055" DrawAspect="Content" ObjectID="_1556950929" r:id="rId63"/>
        </w:object>
      </w:r>
      <w:r w:rsidRPr="003070BC">
        <w:rPr>
          <w:rFonts w:ascii="Times New Roman" w:hAnsi="Times New Roman"/>
          <w:b/>
          <w:sz w:val="28"/>
        </w:rPr>
        <w:t>,</w:t>
      </w:r>
      <w:r w:rsidRPr="003070BC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</w:t>
      </w:r>
      <w:r w:rsidRPr="003070BC">
        <w:rPr>
          <w:rFonts w:ascii="Times New Roman" w:hAnsi="Times New Roman"/>
          <w:sz w:val="28"/>
        </w:rPr>
        <w:t xml:space="preserve">                (13)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Коск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коэффициент оборота собственного капитала.</w:t>
      </w:r>
    </w:p>
    <w:p w:rsidR="00346E3D" w:rsidRPr="003070BC" w:rsidRDefault="00C91FD7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051890">
        <w:rPr>
          <w:rFonts w:ascii="Times New Roman" w:hAnsi="Times New Roman"/>
          <w:b/>
          <w:position w:val="-24"/>
          <w:sz w:val="28"/>
        </w:rPr>
        <w:object w:dxaOrig="2520" w:dyaOrig="620">
          <v:shape id="_x0000_i1056" type="#_x0000_t75" style="width:126pt;height:30.75pt" o:ole="">
            <v:imagedata r:id="rId64" o:title=""/>
          </v:shape>
          <o:OLEObject Type="Embed" ProgID="Equation.3" ShapeID="_x0000_i1056" DrawAspect="Content" ObjectID="_1556950930" r:id="rId65"/>
        </w:object>
      </w:r>
    </w:p>
    <w:p w:rsidR="00346E3D" w:rsidRPr="003070BC" w:rsidRDefault="00346E3D" w:rsidP="00346E3D">
      <w:pPr>
        <w:pStyle w:val="6"/>
        <w:numPr>
          <w:ilvl w:val="0"/>
          <w:numId w:val="12"/>
        </w:numPr>
        <w:shd w:val="clear" w:color="auto" w:fill="auto"/>
        <w:tabs>
          <w:tab w:val="left" w:pos="797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Оборачиваемость дебиторской задолженности Рассчитывается по формулам: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00" w:dyaOrig="660">
          <v:shape id="_x0000_i1057" type="#_x0000_t75" style="width:54.75pt;height:33pt" o:ole="">
            <v:imagedata r:id="rId66" o:title=""/>
          </v:shape>
          <o:OLEObject Type="Embed" ProgID="Equation.3" ShapeID="_x0000_i1057" DrawAspect="Content" ObjectID="_1556950931" r:id="rId67"/>
        </w:object>
      </w:r>
      <w:r w:rsidRPr="003070BC">
        <w:rPr>
          <w:rFonts w:ascii="Times New Roman" w:hAnsi="Times New Roman"/>
          <w:sz w:val="28"/>
        </w:rPr>
        <w:t xml:space="preserve">,        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3070BC">
        <w:rPr>
          <w:rFonts w:ascii="Times New Roman" w:hAnsi="Times New Roman"/>
          <w:sz w:val="28"/>
        </w:rPr>
        <w:t xml:space="preserve">    (14)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Кодз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коэффициент оборота дебиторской задолженности.</w:t>
      </w:r>
    </w:p>
    <w:p w:rsidR="00346E3D" w:rsidRPr="003070BC" w:rsidRDefault="006719FE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051890">
        <w:rPr>
          <w:rFonts w:ascii="Times New Roman" w:hAnsi="Times New Roman"/>
          <w:position w:val="-24"/>
          <w:sz w:val="28"/>
        </w:rPr>
        <w:object w:dxaOrig="2659" w:dyaOrig="620">
          <v:shape id="_x0000_i1058" type="#_x0000_t75" style="width:133.5pt;height:30.75pt" o:ole="">
            <v:imagedata r:id="rId68" o:title=""/>
          </v:shape>
          <o:OLEObject Type="Embed" ProgID="Equation.3" ShapeID="_x0000_i1058" DrawAspect="Content" ObjectID="_1556950932" r:id="rId69"/>
        </w:objec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20" w:dyaOrig="680">
          <v:shape id="_x0000_i1059" type="#_x0000_t75" style="width:56.25pt;height:33.75pt" o:ole="">
            <v:imagedata r:id="rId70" o:title=""/>
          </v:shape>
          <o:OLEObject Type="Embed" ProgID="Equation.3" ShapeID="_x0000_i1059" DrawAspect="Content" ObjectID="_1556950933" r:id="rId71"/>
        </w:object>
      </w:r>
      <w:r w:rsidRPr="003070BC">
        <w:rPr>
          <w:rFonts w:ascii="Times New Roman" w:hAnsi="Times New Roman"/>
          <w:sz w:val="28"/>
        </w:rPr>
        <w:t xml:space="preserve">,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Pr="003070BC">
        <w:rPr>
          <w:rFonts w:ascii="Times New Roman" w:hAnsi="Times New Roman"/>
          <w:sz w:val="28"/>
        </w:rPr>
        <w:t xml:space="preserve">             (15)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Одз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оборачиваемость дебиторской задолженности.</w:t>
      </w:r>
    </w:p>
    <w:p w:rsidR="00346E3D" w:rsidRPr="003070BC" w:rsidRDefault="006719FE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28"/>
          <w:sz w:val="28"/>
        </w:rPr>
        <w:object w:dxaOrig="2000" w:dyaOrig="660">
          <v:shape id="_x0000_i1060" type="#_x0000_t75" style="width:100.5pt;height:33pt" o:ole="">
            <v:imagedata r:id="rId72" o:title=""/>
          </v:shape>
          <o:OLEObject Type="Embed" ProgID="Equation.3" ShapeID="_x0000_i1060" DrawAspect="Content" ObjectID="_1556950934" r:id="rId73"/>
        </w:object>
      </w:r>
      <w:r w:rsidR="00346E3D">
        <w:rPr>
          <w:rFonts w:ascii="Times New Roman" w:hAnsi="Times New Roman"/>
          <w:sz w:val="28"/>
        </w:rPr>
        <w:t xml:space="preserve"> дней</w:t>
      </w:r>
    </w:p>
    <w:p w:rsidR="00346E3D" w:rsidRPr="003070BC" w:rsidRDefault="00346E3D" w:rsidP="00346E3D">
      <w:pPr>
        <w:pStyle w:val="22"/>
        <w:shd w:val="clear" w:color="auto" w:fill="auto"/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Style w:val="2Exact"/>
          <w:rFonts w:ascii="Times New Roman" w:hAnsi="Times New Roman"/>
          <w:sz w:val="28"/>
        </w:rPr>
        <w:t>Классификация заёмщиков по коэффициентам деловой активности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51"/>
        <w:gridCol w:w="1714"/>
        <w:gridCol w:w="1740"/>
        <w:gridCol w:w="1730"/>
      </w:tblGrid>
      <w:tr w:rsidR="00346E3D" w:rsidRPr="009D33A3" w:rsidTr="009D33A3"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Рекомендуемые значения по классам</w:t>
            </w:r>
          </w:p>
        </w:tc>
      </w:tr>
      <w:tr w:rsidR="00346E3D" w:rsidRPr="009D33A3" w:rsidTr="009D33A3">
        <w:tc>
          <w:tcPr>
            <w:tcW w:w="4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46E3D" w:rsidRPr="009D33A3" w:rsidTr="009D33A3">
        <w:tc>
          <w:tcPr>
            <w:tcW w:w="4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Материалоемкость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&lt;10%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10%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61" type="#_x0000_t75" style="width:9.75pt;height:9.75pt" o:ole="">
                  <v:imagedata r:id="rId74" o:title=""/>
                </v:shape>
                <o:OLEObject Type="Embed" ProgID="Equation.3" ShapeID="_x0000_i1061" DrawAspect="Content" ObjectID="_1556950935" r:id="rId75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&gt;20%</w:t>
            </w:r>
          </w:p>
        </w:tc>
      </w:tr>
      <w:tr w:rsidR="00346E3D" w:rsidRPr="009D33A3" w:rsidTr="009D33A3">
        <w:tc>
          <w:tcPr>
            <w:tcW w:w="4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оборота собственного капитала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&gt;0,95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0,80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62" type="#_x0000_t75" style="width:9.75pt;height:9.75pt" o:ole="">
                  <v:imagedata r:id="rId21" o:title=""/>
                </v:shape>
                <o:OLEObject Type="Embed" ProgID="Equation.3" ShapeID="_x0000_i1062" DrawAspect="Content" ObjectID="_1556950936" r:id="rId76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&lt;080</w:t>
            </w:r>
          </w:p>
        </w:tc>
      </w:tr>
      <w:tr w:rsidR="00346E3D" w:rsidRPr="009D33A3" w:rsidTr="009D33A3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Оборачиваемость дебиторской задолженности, </w:t>
            </w:r>
            <w:proofErr w:type="spellStart"/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63" type="#_x0000_t75" style="width:9.75pt;height:9.75pt" o:ole="">
                  <v:imagedata r:id="rId21" o:title=""/>
                </v:shape>
                <o:OLEObject Type="Embed" ProgID="Equation.3" ShapeID="_x0000_i1063" DrawAspect="Content" ObjectID="_1556950937" r:id="rId77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30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64" type="#_x0000_t75" style="width:9.75pt;height:9.75pt" o:ole="">
                  <v:imagedata r:id="rId21" o:title=""/>
                </v:shape>
                <o:OLEObject Type="Embed" ProgID="Equation.3" ShapeID="_x0000_i1064" DrawAspect="Content" ObjectID="_1556950938" r:id="rId78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&gt;90</w:t>
            </w:r>
          </w:p>
        </w:tc>
      </w:tr>
    </w:tbl>
    <w:p w:rsidR="00346E3D" w:rsidRPr="003070BC" w:rsidRDefault="00346E3D" w:rsidP="00346E3D">
      <w:pPr>
        <w:spacing w:line="360" w:lineRule="auto"/>
        <w:ind w:firstLine="709"/>
        <w:jc w:val="both"/>
        <w:rPr>
          <w:sz w:val="28"/>
          <w:szCs w:val="2"/>
        </w:rPr>
      </w:pPr>
    </w:p>
    <w:p w:rsidR="00346E3D" w:rsidRPr="003070BC" w:rsidRDefault="00346E3D" w:rsidP="00346E3D">
      <w:pPr>
        <w:pStyle w:val="22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Показатели рентабельности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Показатели рентабельности характеризуют экономическую эффективность деятельности компании. Рассчитывается три показателя: рентабельность производства, рентабельность собственного и совокупного капитала.</w:t>
      </w:r>
    </w:p>
    <w:p w:rsidR="00346E3D" w:rsidRDefault="00346E3D" w:rsidP="00346E3D">
      <w:pPr>
        <w:pStyle w:val="6"/>
        <w:numPr>
          <w:ilvl w:val="0"/>
          <w:numId w:val="12"/>
        </w:numPr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Рентабельность производства</w:t>
      </w:r>
    </w:p>
    <w:p w:rsidR="00346E3D" w:rsidRPr="003070BC" w:rsidRDefault="00346E3D" w:rsidP="00346E3D">
      <w:pPr>
        <w:pStyle w:val="6"/>
        <w:shd w:val="clear" w:color="auto" w:fill="auto"/>
        <w:tabs>
          <w:tab w:val="left" w:pos="922"/>
        </w:tabs>
        <w:spacing w:before="0" w:after="0" w:line="360" w:lineRule="auto"/>
        <w:ind w:left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Рассчитывается по формуле:</w:t>
      </w:r>
    </w:p>
    <w:p w:rsidR="00346E3D" w:rsidRPr="003070BC" w:rsidRDefault="00BC1A8C" w:rsidP="00346E3D">
      <w:pPr>
        <w:pStyle w:val="6"/>
        <w:shd w:val="clear" w:color="auto" w:fill="auto"/>
        <w:tabs>
          <w:tab w:val="left" w:pos="922"/>
        </w:tabs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BC1A8C">
        <w:rPr>
          <w:rFonts w:ascii="Times New Roman" w:hAnsi="Times New Roman"/>
          <w:position w:val="-24"/>
          <w:sz w:val="28"/>
        </w:rPr>
        <w:object w:dxaOrig="940" w:dyaOrig="639">
          <v:shape id="_x0000_i1065" type="#_x0000_t75" style="width:47.25pt;height:32.25pt" o:ole="">
            <v:imagedata r:id="rId79" o:title=""/>
          </v:shape>
          <o:OLEObject Type="Embed" ProgID="Equation.3" ShapeID="_x0000_i1065" DrawAspect="Content" ObjectID="_1556950939" r:id="rId80"/>
        </w:object>
      </w:r>
      <w:r w:rsidR="00346E3D" w:rsidRPr="003070BC">
        <w:rPr>
          <w:rFonts w:ascii="Times New Roman" w:hAnsi="Times New Roman"/>
          <w:sz w:val="28"/>
        </w:rPr>
        <w:t xml:space="preserve">,                        </w:t>
      </w:r>
      <w:r w:rsidR="00346E3D">
        <w:rPr>
          <w:rFonts w:ascii="Times New Roman" w:hAnsi="Times New Roman"/>
          <w:sz w:val="28"/>
        </w:rPr>
        <w:t xml:space="preserve">                  </w:t>
      </w:r>
      <w:r w:rsidR="00346E3D" w:rsidRPr="003070BC">
        <w:rPr>
          <w:rFonts w:ascii="Times New Roman" w:hAnsi="Times New Roman"/>
          <w:sz w:val="28"/>
        </w:rPr>
        <w:t xml:space="preserve">          (16)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proofErr w:type="spellStart"/>
      <w:r w:rsidRPr="003070BC">
        <w:rPr>
          <w:rStyle w:val="ae"/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прибыль от продаж.</w:t>
      </w:r>
    </w:p>
    <w:p w:rsidR="00346E3D" w:rsidRPr="003070BC" w:rsidRDefault="00202A28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202A28">
        <w:rPr>
          <w:rFonts w:ascii="Times New Roman" w:hAnsi="Times New Roman"/>
          <w:position w:val="-28"/>
          <w:sz w:val="28"/>
        </w:rPr>
        <w:object w:dxaOrig="2380" w:dyaOrig="660">
          <v:shape id="_x0000_i1066" type="#_x0000_t75" style="width:119.25pt;height:33.75pt" o:ole="">
            <v:imagedata r:id="rId81" o:title=""/>
          </v:shape>
          <o:OLEObject Type="Embed" ProgID="Equation.3" ShapeID="_x0000_i1066" DrawAspect="Content" ObjectID="_1556950940" r:id="rId82"/>
        </w:object>
      </w:r>
    </w:p>
    <w:p w:rsidR="00346E3D" w:rsidRPr="003070BC" w:rsidRDefault="00346E3D" w:rsidP="00346E3D">
      <w:pPr>
        <w:pStyle w:val="6"/>
        <w:numPr>
          <w:ilvl w:val="0"/>
          <w:numId w:val="12"/>
        </w:numPr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Рентабельность собственного капитала 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tabs>
          <w:tab w:val="left" w:pos="922"/>
        </w:tabs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80" w:dyaOrig="639">
          <v:shape id="_x0000_i1067" type="#_x0000_t75" style="width:59.25pt;height:32.25pt" o:ole="">
            <v:imagedata r:id="rId83" o:title=""/>
          </v:shape>
          <o:OLEObject Type="Embed" ProgID="Equation.3" ShapeID="_x0000_i1067" DrawAspect="Content" ObjectID="_1556950941" r:id="rId84"/>
        </w:object>
      </w:r>
      <w:r w:rsidRPr="003070BC">
        <w:rPr>
          <w:rFonts w:ascii="Times New Roman" w:hAnsi="Times New Roman"/>
          <w:sz w:val="28"/>
        </w:rPr>
        <w:t xml:space="preserve">,                    </w:t>
      </w:r>
      <w:r>
        <w:rPr>
          <w:rFonts w:ascii="Times New Roman" w:hAnsi="Times New Roman"/>
          <w:sz w:val="28"/>
        </w:rPr>
        <w:t xml:space="preserve">             </w:t>
      </w:r>
      <w:r w:rsidRPr="003070BC">
        <w:rPr>
          <w:rFonts w:ascii="Times New Roman" w:hAnsi="Times New Roman"/>
          <w:sz w:val="28"/>
        </w:rPr>
        <w:t xml:space="preserve">                (17)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Fonts w:ascii="Times New Roman" w:hAnsi="Times New Roman"/>
          <w:sz w:val="28"/>
          <w:lang w:val="en-US"/>
        </w:rPr>
        <w:t>ROE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рентабельность собственного капитала; </w:t>
      </w:r>
      <w:proofErr w:type="spellStart"/>
      <w:r w:rsidRPr="003070BC">
        <w:rPr>
          <w:rFonts w:ascii="Times New Roman" w:hAnsi="Times New Roman"/>
          <w:sz w:val="28"/>
        </w:rPr>
        <w:t>Пч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прибыль чистая (после налогообложения).</w:t>
      </w:r>
    </w:p>
    <w:p w:rsidR="00346E3D" w:rsidRPr="003070BC" w:rsidRDefault="00257830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051890">
        <w:rPr>
          <w:rFonts w:ascii="Times New Roman" w:hAnsi="Times New Roman"/>
          <w:position w:val="-24"/>
          <w:sz w:val="28"/>
        </w:rPr>
        <w:object w:dxaOrig="2580" w:dyaOrig="620">
          <v:shape id="_x0000_i1076" type="#_x0000_t75" style="width:129pt;height:31.5pt" o:ole="">
            <v:imagedata r:id="rId85" o:title=""/>
          </v:shape>
          <o:OLEObject Type="Embed" ProgID="Equation.3" ShapeID="_x0000_i1076" DrawAspect="Content" ObjectID="_1556950942" r:id="rId86"/>
        </w:object>
      </w:r>
    </w:p>
    <w:p w:rsidR="00346E3D" w:rsidRPr="003070BC" w:rsidRDefault="00346E3D" w:rsidP="00346E3D">
      <w:pPr>
        <w:pStyle w:val="6"/>
        <w:numPr>
          <w:ilvl w:val="0"/>
          <w:numId w:val="12"/>
        </w:numPr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Рентабельность активов (совокупного капитала предприятия) Показатель рентабельности активов рассчитывается по формуле:</w:t>
      </w:r>
    </w:p>
    <w:p w:rsidR="00346E3D" w:rsidRPr="003070BC" w:rsidRDefault="00346E3D" w:rsidP="00346E3D">
      <w:pPr>
        <w:pStyle w:val="6"/>
        <w:shd w:val="clear" w:color="auto" w:fill="auto"/>
        <w:tabs>
          <w:tab w:val="left" w:pos="922"/>
        </w:tabs>
        <w:spacing w:before="0"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object w:dxaOrig="1140" w:dyaOrig="639">
          <v:shape id="_x0000_i1068" type="#_x0000_t75" style="width:57pt;height:32.25pt" o:ole="">
            <v:imagedata r:id="rId87" o:title=""/>
          </v:shape>
          <o:OLEObject Type="Embed" ProgID="Equation.3" ShapeID="_x0000_i1068" DrawAspect="Content" ObjectID="_1556950943" r:id="rId88"/>
        </w:object>
      </w:r>
      <w:r w:rsidRPr="003070BC">
        <w:rPr>
          <w:rFonts w:ascii="Times New Roman" w:hAnsi="Times New Roman"/>
          <w:sz w:val="28"/>
        </w:rPr>
        <w:t xml:space="preserve">,                 </w:t>
      </w:r>
      <w:r>
        <w:rPr>
          <w:rFonts w:ascii="Times New Roman" w:hAnsi="Times New Roman"/>
          <w:sz w:val="28"/>
        </w:rPr>
        <w:t xml:space="preserve">           </w:t>
      </w:r>
      <w:r w:rsidRPr="003070BC">
        <w:rPr>
          <w:rFonts w:ascii="Times New Roman" w:hAnsi="Times New Roman"/>
          <w:sz w:val="28"/>
        </w:rPr>
        <w:t xml:space="preserve">                     (18)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 xml:space="preserve">где </w:t>
      </w:r>
      <w:r w:rsidRPr="003070BC">
        <w:rPr>
          <w:rFonts w:ascii="Times New Roman" w:hAnsi="Times New Roman"/>
          <w:sz w:val="28"/>
          <w:lang w:val="en-US"/>
        </w:rPr>
        <w:t>ROA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рентабельность активов; По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прибыль общая (до налогообложения).</w:t>
      </w:r>
    </w:p>
    <w:p w:rsidR="00346E3D" w:rsidRPr="003070BC" w:rsidRDefault="00257830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051890">
        <w:rPr>
          <w:rFonts w:ascii="Times New Roman" w:hAnsi="Times New Roman"/>
          <w:position w:val="-24"/>
          <w:sz w:val="28"/>
        </w:rPr>
        <w:object w:dxaOrig="2560" w:dyaOrig="620">
          <v:shape id="_x0000_i1077" type="#_x0000_t75" style="width:127.5pt;height:31.5pt" o:ole="">
            <v:imagedata r:id="rId89" o:title=""/>
          </v:shape>
          <o:OLEObject Type="Embed" ProgID="Equation.3" ShapeID="_x0000_i1077" DrawAspect="Content" ObjectID="_1556950944" r:id="rId90"/>
        </w:object>
      </w:r>
    </w:p>
    <w:p w:rsidR="00346E3D" w:rsidRPr="003070BC" w:rsidRDefault="00346E3D" w:rsidP="00346E3D">
      <w:pPr>
        <w:pStyle w:val="5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Классификация заёмщиков по показателям рентабельности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2"/>
        <w:gridCol w:w="1509"/>
        <w:gridCol w:w="1524"/>
        <w:gridCol w:w="1510"/>
      </w:tblGrid>
      <w:tr w:rsidR="00346E3D" w:rsidRPr="009D33A3" w:rsidTr="00D61ECD">
        <w:trPr>
          <w:trHeight w:val="276"/>
          <w:jc w:val="center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Рекомендуемые значения по классам</w:t>
            </w:r>
          </w:p>
        </w:tc>
      </w:tr>
      <w:tr w:rsidR="00346E3D" w:rsidRPr="009D33A3" w:rsidTr="00D61ECD">
        <w:trPr>
          <w:trHeight w:val="147"/>
          <w:jc w:val="center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346E3D" w:rsidRPr="009D33A3" w:rsidTr="00D61ECD">
        <w:trPr>
          <w:trHeight w:val="276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&gt;30%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0%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69" type="#_x0000_t75" style="width:9.75pt;height:9.75pt" o:ole="">
                  <v:imagedata r:id="rId21" o:title=""/>
                </v:shape>
                <o:OLEObject Type="Embed" ProgID="Equation.3" ShapeID="_x0000_i1069" DrawAspect="Content" ObjectID="_1556950945" r:id="rId91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&lt;0%</w:t>
            </w:r>
          </w:p>
        </w:tc>
      </w:tr>
      <w:tr w:rsidR="00346E3D" w:rsidRPr="009D33A3" w:rsidTr="00D61ECD">
        <w:trPr>
          <w:trHeight w:val="276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&gt;15%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5%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0" type="#_x0000_t75" style="width:9.75pt;height:9.75pt" o:ole="">
                  <v:imagedata r:id="rId21" o:title=""/>
                </v:shape>
                <o:OLEObject Type="Embed" ProgID="Equation.3" ShapeID="_x0000_i1070" DrawAspect="Content" ObjectID="_1556950946" r:id="rId92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&lt;5%</w:t>
            </w:r>
          </w:p>
        </w:tc>
      </w:tr>
      <w:tr w:rsidR="00346E3D" w:rsidRPr="009D33A3" w:rsidTr="00D61ECD">
        <w:trPr>
          <w:trHeight w:val="291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Рентабельность активов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&gt;9%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3%</w: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1" type="#_x0000_t75" style="width:9.75pt;height:9.75pt" o:ole="">
                  <v:imagedata r:id="rId21" o:title=""/>
                </v:shape>
                <o:OLEObject Type="Embed" ProgID="Equation.3" ShapeID="_x0000_i1071" DrawAspect="Content" ObjectID="_1556950947" r:id="rId93"/>
              </w:object>
            </w: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9D33A3" w:rsidRDefault="00346E3D" w:rsidP="009D33A3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3A3">
              <w:rPr>
                <w:rStyle w:val="11"/>
                <w:rFonts w:ascii="Times New Roman" w:hAnsi="Times New Roman"/>
                <w:sz w:val="24"/>
                <w:szCs w:val="24"/>
              </w:rPr>
              <w:t>&lt;3%</w:t>
            </w:r>
          </w:p>
        </w:tc>
      </w:tr>
    </w:tbl>
    <w:p w:rsidR="00346E3D" w:rsidRPr="003070BC" w:rsidRDefault="00346E3D" w:rsidP="00346E3D">
      <w:pPr>
        <w:spacing w:line="360" w:lineRule="auto"/>
        <w:ind w:firstLine="709"/>
        <w:jc w:val="both"/>
        <w:rPr>
          <w:sz w:val="28"/>
          <w:szCs w:val="2"/>
        </w:rPr>
      </w:pP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Для оценки кредитоспособности методом рейтинга используются показатели: коэффициент текущей ликвидности, коэффициент абсолютной ликвидности, обеспеченность собственными оборотными средствами, рентабельность активов. Значения соответствующих баллов определяются по табл. 7.</w:t>
      </w:r>
    </w:p>
    <w:p w:rsidR="00346E3D" w:rsidRPr="003070BC" w:rsidRDefault="00346E3D" w:rsidP="00346E3D">
      <w:pPr>
        <w:pStyle w:val="22"/>
        <w:shd w:val="clear" w:color="auto" w:fill="auto"/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3070BC">
        <w:rPr>
          <w:rFonts w:ascii="Times New Roman" w:hAnsi="Times New Roman"/>
          <w:b w:val="0"/>
          <w:sz w:val="28"/>
        </w:rPr>
        <w:t>Шкала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421"/>
        <w:gridCol w:w="4803"/>
      </w:tblGrid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Оценка коэффициентов в баллах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Интервал значений коэффициентов</w:t>
            </w:r>
          </w:p>
        </w:tc>
      </w:tr>
      <w:tr w:rsidR="00346E3D" w:rsidRPr="00D61ECD" w:rsidTr="00D61ECD">
        <w:tc>
          <w:tcPr>
            <w:tcW w:w="9224" w:type="dxa"/>
            <w:gridSpan w:val="2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текущей ликвидности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&gt;2,5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1,5-2,5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1,0-1,5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&lt;1,0</w:t>
            </w:r>
          </w:p>
        </w:tc>
      </w:tr>
      <w:tr w:rsidR="00346E3D" w:rsidRPr="00D61ECD" w:rsidTr="00D61ECD">
        <w:tc>
          <w:tcPr>
            <w:tcW w:w="9224" w:type="dxa"/>
            <w:gridSpan w:val="2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&gt;0,20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0,15-0,20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0,10-0,15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&lt;0,10</w:t>
            </w:r>
          </w:p>
        </w:tc>
      </w:tr>
      <w:tr w:rsidR="00346E3D" w:rsidRPr="00D61ECD" w:rsidTr="00D61ECD">
        <w:tc>
          <w:tcPr>
            <w:tcW w:w="9224" w:type="dxa"/>
            <w:gridSpan w:val="2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Коэффициент обеспеченности собственными оборотными средствами, %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&gt;20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10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2" type="#_x0000_t75" style="width:9.75pt;height:9.75pt" o:ole="">
                  <v:imagedata r:id="rId21" o:title=""/>
                </v:shape>
                <o:OLEObject Type="Embed" ProgID="Equation.3" ShapeID="_x0000_i1072" DrawAspect="Content" ObjectID="_1556950948" r:id="rId94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3" type="#_x0000_t75" style="width:9.75pt;height:9.75pt" o:ole="">
                  <v:imagedata r:id="rId21" o:title=""/>
                </v:shape>
                <o:OLEObject Type="Embed" ProgID="Equation.3" ShapeID="_x0000_i1073" DrawAspect="Content" ObjectID="_1556950949" r:id="rId95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&lt;0</w:t>
            </w:r>
          </w:p>
        </w:tc>
      </w:tr>
      <w:tr w:rsidR="00346E3D" w:rsidRPr="00D61ECD" w:rsidTr="00D61ECD">
        <w:tc>
          <w:tcPr>
            <w:tcW w:w="9224" w:type="dxa"/>
            <w:gridSpan w:val="2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Рентабельность активов, %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&gt;15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4" type="#_x0000_t75" style="width:9.75pt;height:9.75pt" o:ole="">
                  <v:imagedata r:id="rId21" o:title=""/>
                </v:shape>
                <o:OLEObject Type="Embed" ProgID="Equation.3" ShapeID="_x0000_i1074" DrawAspect="Content" ObjectID="_1556950950" r:id="rId96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object w:dxaOrig="200" w:dyaOrig="200">
                <v:shape id="_x0000_i1075" type="#_x0000_t75" style="width:9.75pt;height:9.75pt" o:ole="">
                  <v:imagedata r:id="rId21" o:title=""/>
                </v:shape>
                <o:OLEObject Type="Embed" ProgID="Equation.3" ShapeID="_x0000_i1075" DrawAspect="Content" ObjectID="_1556950951" r:id="rId97"/>
              </w:object>
            </w: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6E3D" w:rsidRPr="00D61ECD" w:rsidTr="00D61ECD">
        <w:tc>
          <w:tcPr>
            <w:tcW w:w="4421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shd w:val="clear" w:color="auto" w:fill="FFFFFF"/>
          </w:tcPr>
          <w:p w:rsidR="00346E3D" w:rsidRPr="00D61ECD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CD">
              <w:rPr>
                <w:rStyle w:val="11"/>
                <w:rFonts w:ascii="Times New Roman" w:hAnsi="Times New Roman"/>
                <w:sz w:val="24"/>
                <w:szCs w:val="24"/>
              </w:rPr>
              <w:t>&lt;0</w:t>
            </w:r>
          </w:p>
        </w:tc>
      </w:tr>
    </w:tbl>
    <w:p w:rsidR="00346E3D" w:rsidRPr="003070BC" w:rsidRDefault="00346E3D" w:rsidP="00346E3D">
      <w:pPr>
        <w:pStyle w:val="22"/>
        <w:shd w:val="clear" w:color="auto" w:fill="auto"/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lastRenderedPageBreak/>
        <w:t>Отнесение заемщика к определенному классу производится в зависимости от количества баллов: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Свыше 75 баллов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 xml:space="preserve">1 класс, заемщик высокой кредитоспособности. 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От 30 до 75 баллов включительно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2 класс, заемщик средней кредитоспособности.</w:t>
      </w:r>
    </w:p>
    <w:p w:rsidR="00346E3D" w:rsidRPr="003070BC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От 10 до 30 баллов включительно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3 класс, неустойчивый заемщик.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3070BC">
        <w:rPr>
          <w:rFonts w:ascii="Times New Roman" w:hAnsi="Times New Roman"/>
          <w:sz w:val="28"/>
        </w:rPr>
        <w:t>До 10 баллов включительно</w:t>
      </w:r>
      <w:r>
        <w:rPr>
          <w:rFonts w:ascii="Times New Roman" w:hAnsi="Times New Roman"/>
          <w:sz w:val="28"/>
        </w:rPr>
        <w:t xml:space="preserve"> – </w:t>
      </w:r>
      <w:r w:rsidRPr="003070BC">
        <w:rPr>
          <w:rFonts w:ascii="Times New Roman" w:hAnsi="Times New Roman"/>
          <w:sz w:val="28"/>
        </w:rPr>
        <w:t>4 класс, неплатежеспособный заемщик.</w:t>
      </w:r>
    </w:p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Суммарные баллы по данному </w:t>
      </w:r>
      <w:proofErr w:type="spellStart"/>
      <w:r>
        <w:rPr>
          <w:rFonts w:ascii="Times New Roman" w:hAnsi="Times New Roman"/>
          <w:sz w:val="28"/>
        </w:rPr>
        <w:t>ссудозаемщику</w:t>
      </w:r>
      <w:proofErr w:type="spellEnd"/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540"/>
      </w:tblGrid>
      <w:tr w:rsidR="00346E3D" w:rsidRPr="00257830" w:rsidTr="00D61ECD">
        <w:trPr>
          <w:trHeight w:val="27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46E3D" w:rsidRPr="00257830" w:rsidTr="00D61ECD">
        <w:trPr>
          <w:trHeight w:val="2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</w:tr>
      <w:tr w:rsidR="00346E3D" w:rsidRPr="00257830" w:rsidTr="00D61ECD">
        <w:trPr>
          <w:trHeight w:val="27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257830" w:rsidRDefault="0035075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5075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</w:t>
            </w:r>
            <w:r w:rsidR="00346E3D"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E3D" w:rsidRPr="00257830" w:rsidTr="00D61ECD">
        <w:trPr>
          <w:trHeight w:val="2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</w:tr>
      <w:tr w:rsidR="00346E3D" w:rsidRPr="00257830" w:rsidTr="00D61ECD">
        <w:trPr>
          <w:trHeight w:val="27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0,</w:t>
            </w:r>
            <w:r w:rsidR="005A0935"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6E3D" w:rsidRPr="00257830" w:rsidTr="00D61ECD">
        <w:trPr>
          <w:trHeight w:val="2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средствами, %</w:t>
            </w:r>
          </w:p>
        </w:tc>
      </w:tr>
      <w:tr w:rsidR="00346E3D" w:rsidRPr="00257830" w:rsidTr="00D61ECD">
        <w:trPr>
          <w:trHeight w:val="27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257830" w:rsidRDefault="0035075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5075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6E3D" w:rsidRPr="00257830" w:rsidTr="00D61ECD">
        <w:trPr>
          <w:trHeight w:val="2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Рентабельность активов, %</w:t>
            </w:r>
          </w:p>
        </w:tc>
      </w:tr>
      <w:tr w:rsidR="00346E3D" w:rsidRPr="00257830" w:rsidTr="00D61ECD">
        <w:trPr>
          <w:trHeight w:val="28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E3D" w:rsidRPr="00257830" w:rsidRDefault="00257830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257830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E3D" w:rsidRPr="00257830" w:rsidTr="00D61ECD">
        <w:trPr>
          <w:trHeight w:val="270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46E3D" w:rsidRPr="00257830" w:rsidTr="00D61ECD">
        <w:trPr>
          <w:trHeight w:val="285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E3D" w:rsidRPr="00257830" w:rsidRDefault="00346E3D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3D" w:rsidRPr="00257830" w:rsidRDefault="00257830" w:rsidP="00346E3D">
            <w:pPr>
              <w:pStyle w:val="6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46E3D" w:rsidRDefault="00346E3D" w:rsidP="00346E3D">
      <w:pPr>
        <w:pStyle w:val="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</w:rPr>
      </w:pPr>
    </w:p>
    <w:p w:rsidR="00321EF0" w:rsidRPr="00ED282A" w:rsidRDefault="00346E3D" w:rsidP="00ED282A">
      <w:pPr>
        <w:pStyle w:val="6"/>
        <w:shd w:val="clear" w:color="auto" w:fill="auto"/>
        <w:spacing w:before="0" w:after="0" w:line="360" w:lineRule="auto"/>
        <w:ind w:firstLine="709"/>
        <w:rPr>
          <w:rStyle w:val="10"/>
          <w:rFonts w:ascii="Times New Roman" w:eastAsia="Verdana" w:hAnsi="Times New Roman" w:cs="Verdana"/>
          <w:b w:val="0"/>
          <w:bCs w:val="0"/>
          <w:color w:val="auto"/>
          <w:szCs w:val="23"/>
        </w:rPr>
      </w:pPr>
      <w:r>
        <w:rPr>
          <w:rFonts w:ascii="Times New Roman" w:hAnsi="Times New Roman"/>
          <w:sz w:val="28"/>
        </w:rPr>
        <w:t xml:space="preserve">Наш </w:t>
      </w:r>
      <w:proofErr w:type="spellStart"/>
      <w:r>
        <w:rPr>
          <w:rFonts w:ascii="Times New Roman" w:hAnsi="Times New Roman"/>
          <w:sz w:val="28"/>
        </w:rPr>
        <w:t>ссудозаемщик</w:t>
      </w:r>
      <w:proofErr w:type="spellEnd"/>
      <w:r>
        <w:rPr>
          <w:rFonts w:ascii="Times New Roman" w:hAnsi="Times New Roman"/>
          <w:sz w:val="28"/>
        </w:rPr>
        <w:t xml:space="preserve"> подпадает под </w:t>
      </w:r>
      <w:r w:rsidR="0025783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класс – </w:t>
      </w:r>
      <w:r w:rsidR="00257830">
        <w:rPr>
          <w:rFonts w:ascii="Times New Roman" w:hAnsi="Times New Roman"/>
          <w:sz w:val="28"/>
        </w:rPr>
        <w:t xml:space="preserve">заемщик средней кредитоспособности </w:t>
      </w:r>
      <w:r>
        <w:rPr>
          <w:rFonts w:ascii="Times New Roman" w:hAnsi="Times New Roman"/>
          <w:sz w:val="28"/>
        </w:rPr>
        <w:t xml:space="preserve">– </w:t>
      </w:r>
      <w:r w:rsidR="00257830">
        <w:rPr>
          <w:rFonts w:ascii="Times New Roman" w:hAnsi="Times New Roman"/>
          <w:sz w:val="28"/>
        </w:rPr>
        <w:t>о</w:t>
      </w:r>
      <w:r w:rsidR="00257830" w:rsidRPr="003070BC">
        <w:rPr>
          <w:rFonts w:ascii="Times New Roman" w:hAnsi="Times New Roman"/>
          <w:sz w:val="28"/>
        </w:rPr>
        <w:t>т 30 до 75 баллов включительно</w:t>
      </w:r>
      <w:r w:rsidR="00CC64F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который набрал </w:t>
      </w:r>
      <w:r w:rsidR="00257830"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баллов.</w:t>
      </w:r>
    </w:p>
    <w:sectPr w:rsidR="00321EF0" w:rsidRPr="00ED282A" w:rsidSect="00CB223B">
      <w:footerReference w:type="default" r:id="rId9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41" w:rsidRDefault="009D1241" w:rsidP="00A03B8E">
      <w:pPr>
        <w:spacing w:after="0" w:line="240" w:lineRule="auto"/>
      </w:pPr>
      <w:r>
        <w:separator/>
      </w:r>
    </w:p>
  </w:endnote>
  <w:endnote w:type="continuationSeparator" w:id="0">
    <w:p w:rsidR="009D1241" w:rsidRDefault="009D1241" w:rsidP="00A0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35" w:rsidRPr="00E209D0" w:rsidRDefault="00713C35" w:rsidP="00346E3D">
    <w:pPr>
      <w:pStyle w:val="af"/>
      <w:jc w:val="right"/>
      <w:rPr>
        <w:rFonts w:ascii="Times New Roman" w:hAnsi="Times New Roman" w:cs="Times New Roman"/>
      </w:rPr>
    </w:pPr>
    <w:r w:rsidRPr="00E209D0">
      <w:rPr>
        <w:rFonts w:ascii="Times New Roman" w:hAnsi="Times New Roman" w:cs="Times New Roman"/>
      </w:rPr>
      <w:fldChar w:fldCharType="begin"/>
    </w:r>
    <w:r w:rsidRPr="00E209D0">
      <w:rPr>
        <w:rFonts w:ascii="Times New Roman" w:hAnsi="Times New Roman" w:cs="Times New Roman"/>
      </w:rPr>
      <w:instrText xml:space="preserve"> PAGE   \* MERGEFORMAT </w:instrText>
    </w:r>
    <w:r w:rsidRPr="00E209D0">
      <w:rPr>
        <w:rFonts w:ascii="Times New Roman" w:hAnsi="Times New Roman" w:cs="Times New Roman"/>
      </w:rPr>
      <w:fldChar w:fldCharType="separate"/>
    </w:r>
    <w:r w:rsidR="00257830">
      <w:rPr>
        <w:rFonts w:ascii="Times New Roman" w:hAnsi="Times New Roman" w:cs="Times New Roman"/>
        <w:noProof/>
      </w:rPr>
      <w:t>15</w:t>
    </w:r>
    <w:r w:rsidRPr="00E209D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41" w:rsidRDefault="009D1241" w:rsidP="00A03B8E">
      <w:pPr>
        <w:spacing w:after="0" w:line="240" w:lineRule="auto"/>
      </w:pPr>
      <w:r>
        <w:separator/>
      </w:r>
    </w:p>
  </w:footnote>
  <w:footnote w:type="continuationSeparator" w:id="0">
    <w:p w:rsidR="009D1241" w:rsidRDefault="009D1241" w:rsidP="00A0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387"/>
    <w:multiLevelType w:val="hybridMultilevel"/>
    <w:tmpl w:val="91F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784"/>
    <w:multiLevelType w:val="hybridMultilevel"/>
    <w:tmpl w:val="02222690"/>
    <w:lvl w:ilvl="0" w:tplc="5D52A5EA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1D882DFB"/>
    <w:multiLevelType w:val="hybridMultilevel"/>
    <w:tmpl w:val="D9A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42B31"/>
    <w:multiLevelType w:val="hybridMultilevel"/>
    <w:tmpl w:val="52969B6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2C9C0A22"/>
    <w:multiLevelType w:val="hybridMultilevel"/>
    <w:tmpl w:val="0A74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8170C"/>
    <w:multiLevelType w:val="hybridMultilevel"/>
    <w:tmpl w:val="BC90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219AE"/>
    <w:multiLevelType w:val="hybridMultilevel"/>
    <w:tmpl w:val="B4223212"/>
    <w:lvl w:ilvl="0" w:tplc="47FE6374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056600"/>
    <w:multiLevelType w:val="multilevel"/>
    <w:tmpl w:val="27625A60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F70AF"/>
    <w:multiLevelType w:val="hybridMultilevel"/>
    <w:tmpl w:val="8D183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902C9D"/>
    <w:multiLevelType w:val="multilevel"/>
    <w:tmpl w:val="D488211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9F57C2"/>
    <w:multiLevelType w:val="multilevel"/>
    <w:tmpl w:val="2814FB82"/>
    <w:lvl w:ilvl="0">
      <w:start w:val="1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3749F"/>
    <w:multiLevelType w:val="multilevel"/>
    <w:tmpl w:val="AED49E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349C7"/>
    <w:multiLevelType w:val="hybridMultilevel"/>
    <w:tmpl w:val="2278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C24"/>
    <w:rsid w:val="000000AB"/>
    <w:rsid w:val="00004B0C"/>
    <w:rsid w:val="00020F3C"/>
    <w:rsid w:val="00040A99"/>
    <w:rsid w:val="00047682"/>
    <w:rsid w:val="00061BD8"/>
    <w:rsid w:val="000673AB"/>
    <w:rsid w:val="00070064"/>
    <w:rsid w:val="000947EB"/>
    <w:rsid w:val="000D222B"/>
    <w:rsid w:val="000E36F2"/>
    <w:rsid w:val="00112602"/>
    <w:rsid w:val="00122C3E"/>
    <w:rsid w:val="001276CD"/>
    <w:rsid w:val="001520F8"/>
    <w:rsid w:val="00164C0C"/>
    <w:rsid w:val="00170715"/>
    <w:rsid w:val="0017114B"/>
    <w:rsid w:val="00174065"/>
    <w:rsid w:val="001754D5"/>
    <w:rsid w:val="0019190D"/>
    <w:rsid w:val="00191F82"/>
    <w:rsid w:val="001B0847"/>
    <w:rsid w:val="001B2677"/>
    <w:rsid w:val="001C6ABB"/>
    <w:rsid w:val="00202A28"/>
    <w:rsid w:val="00212D82"/>
    <w:rsid w:val="00257830"/>
    <w:rsid w:val="002665B6"/>
    <w:rsid w:val="002743A9"/>
    <w:rsid w:val="00275094"/>
    <w:rsid w:val="002A7892"/>
    <w:rsid w:val="002B0DEA"/>
    <w:rsid w:val="002B1C4F"/>
    <w:rsid w:val="002D0A5D"/>
    <w:rsid w:val="002D3AC9"/>
    <w:rsid w:val="002E44BD"/>
    <w:rsid w:val="002E74D7"/>
    <w:rsid w:val="002F1D9E"/>
    <w:rsid w:val="002F52BC"/>
    <w:rsid w:val="00306094"/>
    <w:rsid w:val="00316B43"/>
    <w:rsid w:val="00321EF0"/>
    <w:rsid w:val="00333E43"/>
    <w:rsid w:val="00346E3D"/>
    <w:rsid w:val="0035075D"/>
    <w:rsid w:val="00356B66"/>
    <w:rsid w:val="00361E44"/>
    <w:rsid w:val="00386C3C"/>
    <w:rsid w:val="003C22A3"/>
    <w:rsid w:val="003D108D"/>
    <w:rsid w:val="003D4988"/>
    <w:rsid w:val="003D59FE"/>
    <w:rsid w:val="003E06F5"/>
    <w:rsid w:val="003E37EB"/>
    <w:rsid w:val="004046E7"/>
    <w:rsid w:val="00406446"/>
    <w:rsid w:val="00426E5F"/>
    <w:rsid w:val="00433A64"/>
    <w:rsid w:val="00437677"/>
    <w:rsid w:val="004768F3"/>
    <w:rsid w:val="004854C0"/>
    <w:rsid w:val="0048777A"/>
    <w:rsid w:val="00487877"/>
    <w:rsid w:val="00496C28"/>
    <w:rsid w:val="004A7C46"/>
    <w:rsid w:val="004B51ED"/>
    <w:rsid w:val="004C3B2C"/>
    <w:rsid w:val="004D57FE"/>
    <w:rsid w:val="004E30C6"/>
    <w:rsid w:val="004F6ADB"/>
    <w:rsid w:val="00530EFF"/>
    <w:rsid w:val="0053724E"/>
    <w:rsid w:val="00542255"/>
    <w:rsid w:val="00547A1C"/>
    <w:rsid w:val="005510DB"/>
    <w:rsid w:val="00573D75"/>
    <w:rsid w:val="005A0935"/>
    <w:rsid w:val="005E11A2"/>
    <w:rsid w:val="005E6E64"/>
    <w:rsid w:val="00610B0E"/>
    <w:rsid w:val="0062192D"/>
    <w:rsid w:val="00624FAD"/>
    <w:rsid w:val="006264DF"/>
    <w:rsid w:val="00670F9C"/>
    <w:rsid w:val="00671324"/>
    <w:rsid w:val="006719FE"/>
    <w:rsid w:val="006737BD"/>
    <w:rsid w:val="00687F2F"/>
    <w:rsid w:val="0069094F"/>
    <w:rsid w:val="006A0B00"/>
    <w:rsid w:val="006A4124"/>
    <w:rsid w:val="006B5EC1"/>
    <w:rsid w:val="006C35D5"/>
    <w:rsid w:val="006D3416"/>
    <w:rsid w:val="006E3C81"/>
    <w:rsid w:val="006F6E7A"/>
    <w:rsid w:val="00713C35"/>
    <w:rsid w:val="00757195"/>
    <w:rsid w:val="007A6F8A"/>
    <w:rsid w:val="007C3216"/>
    <w:rsid w:val="007F7672"/>
    <w:rsid w:val="00850A3C"/>
    <w:rsid w:val="008B0F9C"/>
    <w:rsid w:val="008B4A39"/>
    <w:rsid w:val="008D3BD3"/>
    <w:rsid w:val="00915D00"/>
    <w:rsid w:val="00927DA1"/>
    <w:rsid w:val="00935E4B"/>
    <w:rsid w:val="00943EDD"/>
    <w:rsid w:val="00986687"/>
    <w:rsid w:val="0099105E"/>
    <w:rsid w:val="009B7352"/>
    <w:rsid w:val="009D1241"/>
    <w:rsid w:val="009D33A3"/>
    <w:rsid w:val="009E04B3"/>
    <w:rsid w:val="009E0D6A"/>
    <w:rsid w:val="00A03B8E"/>
    <w:rsid w:val="00A44F08"/>
    <w:rsid w:val="00A62B23"/>
    <w:rsid w:val="00AC5060"/>
    <w:rsid w:val="00B02072"/>
    <w:rsid w:val="00B10A8C"/>
    <w:rsid w:val="00B17021"/>
    <w:rsid w:val="00B303F9"/>
    <w:rsid w:val="00B45854"/>
    <w:rsid w:val="00B61B04"/>
    <w:rsid w:val="00B86B59"/>
    <w:rsid w:val="00BA11D1"/>
    <w:rsid w:val="00BB516E"/>
    <w:rsid w:val="00BC1A8C"/>
    <w:rsid w:val="00BC1B69"/>
    <w:rsid w:val="00BC38FF"/>
    <w:rsid w:val="00BC6B72"/>
    <w:rsid w:val="00BF4AC9"/>
    <w:rsid w:val="00BF7253"/>
    <w:rsid w:val="00C01944"/>
    <w:rsid w:val="00C91FD7"/>
    <w:rsid w:val="00C9318D"/>
    <w:rsid w:val="00C9355D"/>
    <w:rsid w:val="00CB223B"/>
    <w:rsid w:val="00CC64F7"/>
    <w:rsid w:val="00CD48C3"/>
    <w:rsid w:val="00CE4444"/>
    <w:rsid w:val="00D24724"/>
    <w:rsid w:val="00D2524C"/>
    <w:rsid w:val="00D61ECD"/>
    <w:rsid w:val="00D92D48"/>
    <w:rsid w:val="00DA3433"/>
    <w:rsid w:val="00DD0F5F"/>
    <w:rsid w:val="00DD62BF"/>
    <w:rsid w:val="00DE752C"/>
    <w:rsid w:val="00E16521"/>
    <w:rsid w:val="00E330D0"/>
    <w:rsid w:val="00E66F13"/>
    <w:rsid w:val="00E81DAF"/>
    <w:rsid w:val="00E93425"/>
    <w:rsid w:val="00EA065B"/>
    <w:rsid w:val="00EA2891"/>
    <w:rsid w:val="00EA72B5"/>
    <w:rsid w:val="00EB0D46"/>
    <w:rsid w:val="00EC06A4"/>
    <w:rsid w:val="00EC13A2"/>
    <w:rsid w:val="00ED282A"/>
    <w:rsid w:val="00ED4C94"/>
    <w:rsid w:val="00F377A7"/>
    <w:rsid w:val="00F74C24"/>
    <w:rsid w:val="00FA5384"/>
    <w:rsid w:val="00FB6BBE"/>
    <w:rsid w:val="00FE3751"/>
    <w:rsid w:val="00FF2217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B"/>
  </w:style>
  <w:style w:type="paragraph" w:styleId="1">
    <w:name w:val="heading 1"/>
    <w:basedOn w:val="a"/>
    <w:next w:val="a"/>
    <w:link w:val="10"/>
    <w:uiPriority w:val="9"/>
    <w:qFormat/>
    <w:rsid w:val="002F1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5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1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0947E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4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60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7114B"/>
    <w:rPr>
      <w:color w:val="808080"/>
    </w:rPr>
  </w:style>
  <w:style w:type="paragraph" w:styleId="a9">
    <w:name w:val="No Spacing"/>
    <w:uiPriority w:val="1"/>
    <w:qFormat/>
    <w:rsid w:val="00020F3C"/>
    <w:pPr>
      <w:spacing w:after="0" w:line="240" w:lineRule="auto"/>
    </w:pPr>
  </w:style>
  <w:style w:type="character" w:customStyle="1" w:styleId="aa">
    <w:name w:val="Сноска_"/>
    <w:basedOn w:val="a0"/>
    <w:link w:val="ab"/>
    <w:rsid w:val="00346E3D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ac">
    <w:name w:val="Сноска + Курсив"/>
    <w:basedOn w:val="aa"/>
    <w:rsid w:val="00346E3D"/>
    <w:rPr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346E3D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46E3D"/>
    <w:rPr>
      <w:rFonts w:ascii="Verdana" w:eastAsia="Verdana" w:hAnsi="Verdana" w:cs="Verdana"/>
      <w:i/>
      <w:iCs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6"/>
    <w:rsid w:val="00346E3D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346E3D"/>
    <w:rPr>
      <w:rFonts w:ascii="Verdana" w:eastAsia="Verdana" w:hAnsi="Verdana" w:cs="Verdana"/>
      <w:i/>
      <w:i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346E3D"/>
    <w:rPr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Курсив"/>
    <w:basedOn w:val="ad"/>
    <w:rsid w:val="00346E3D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Подпись к таблице (5)_"/>
    <w:basedOn w:val="a0"/>
    <w:link w:val="50"/>
    <w:rsid w:val="00346E3D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2Exact">
    <w:name w:val="Основной текст (2) Exact"/>
    <w:basedOn w:val="a0"/>
    <w:rsid w:val="00346E3D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paragraph" w:customStyle="1" w:styleId="ab">
    <w:name w:val="Сноска"/>
    <w:basedOn w:val="a"/>
    <w:link w:val="aa"/>
    <w:rsid w:val="00346E3D"/>
    <w:pPr>
      <w:widowControl w:val="0"/>
      <w:shd w:val="clear" w:color="auto" w:fill="FFFFFF"/>
      <w:spacing w:after="60" w:line="298" w:lineRule="exact"/>
    </w:pPr>
    <w:rPr>
      <w:rFonts w:ascii="Verdana" w:eastAsia="Verdana" w:hAnsi="Verdana" w:cs="Verdana"/>
      <w:sz w:val="23"/>
      <w:szCs w:val="23"/>
    </w:rPr>
  </w:style>
  <w:style w:type="paragraph" w:customStyle="1" w:styleId="22">
    <w:name w:val="Основной текст (2)"/>
    <w:basedOn w:val="a"/>
    <w:link w:val="21"/>
    <w:rsid w:val="00346E3D"/>
    <w:pPr>
      <w:widowControl w:val="0"/>
      <w:shd w:val="clear" w:color="auto" w:fill="FFFFFF"/>
      <w:spacing w:before="180" w:after="180" w:line="0" w:lineRule="atLeast"/>
      <w:ind w:hanging="880"/>
      <w:jc w:val="both"/>
    </w:pPr>
    <w:rPr>
      <w:rFonts w:ascii="Arial" w:eastAsia="Arial" w:hAnsi="Arial" w:cs="Arial"/>
      <w:b/>
      <w:bCs/>
      <w:sz w:val="25"/>
      <w:szCs w:val="25"/>
    </w:rPr>
  </w:style>
  <w:style w:type="paragraph" w:customStyle="1" w:styleId="32">
    <w:name w:val="Основной текст (3)"/>
    <w:basedOn w:val="a"/>
    <w:link w:val="31"/>
    <w:rsid w:val="00346E3D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i/>
      <w:iCs/>
      <w:sz w:val="23"/>
      <w:szCs w:val="23"/>
    </w:rPr>
  </w:style>
  <w:style w:type="paragraph" w:customStyle="1" w:styleId="6">
    <w:name w:val="Основной текст6"/>
    <w:basedOn w:val="a"/>
    <w:link w:val="ad"/>
    <w:rsid w:val="00346E3D"/>
    <w:pPr>
      <w:widowControl w:val="0"/>
      <w:shd w:val="clear" w:color="auto" w:fill="FFFFFF"/>
      <w:spacing w:before="180" w:after="60" w:line="307" w:lineRule="exact"/>
      <w:jc w:val="both"/>
    </w:pPr>
    <w:rPr>
      <w:rFonts w:ascii="Verdana" w:eastAsia="Verdana" w:hAnsi="Verdana" w:cs="Verdana"/>
      <w:sz w:val="23"/>
      <w:szCs w:val="23"/>
    </w:rPr>
  </w:style>
  <w:style w:type="paragraph" w:customStyle="1" w:styleId="24">
    <w:name w:val="Подпись к таблице (2)"/>
    <w:basedOn w:val="a"/>
    <w:link w:val="23"/>
    <w:rsid w:val="00346E3D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346E3D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styleId="af">
    <w:name w:val="footer"/>
    <w:basedOn w:val="a"/>
    <w:link w:val="af0"/>
    <w:uiPriority w:val="99"/>
    <w:unhideWhenUsed/>
    <w:rsid w:val="00346E3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46E3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19190D"/>
    <w:pPr>
      <w:spacing w:after="0" w:line="240" w:lineRule="auto"/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5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B45854"/>
    <w:rPr>
      <w:b/>
      <w:bCs/>
    </w:rPr>
  </w:style>
  <w:style w:type="paragraph" w:styleId="af2">
    <w:name w:val="Normal (Web)"/>
    <w:basedOn w:val="a"/>
    <w:uiPriority w:val="99"/>
    <w:semiHidden/>
    <w:unhideWhenUsed/>
    <w:rsid w:val="00B4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458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58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-title">
    <w:name w:val="f-title"/>
    <w:basedOn w:val="a"/>
    <w:rsid w:val="00B4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97" Type="http://schemas.openxmlformats.org/officeDocument/2006/relationships/oleObject" Target="embeddings/oleObject53.bin"/><Relationship Id="rId7" Type="http://schemas.openxmlformats.org/officeDocument/2006/relationships/image" Target="media/image1.png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theme" Target="theme/theme1.xml"/><Relationship Id="rId8" Type="http://schemas.openxmlformats.org/officeDocument/2006/relationships/hyperlink" Target="http://1fin.ru/?id=281&amp;t=390" TargetMode="External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dcterms:created xsi:type="dcterms:W3CDTF">2017-05-13T05:06:00Z</dcterms:created>
  <dcterms:modified xsi:type="dcterms:W3CDTF">2017-05-22T07:34:00Z</dcterms:modified>
</cp:coreProperties>
</file>